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AC4AD" w14:textId="79B24E5F" w:rsidR="00FF1F2B" w:rsidRPr="004112AA" w:rsidRDefault="00000000" w:rsidP="002738D1">
      <w:pPr>
        <w:pStyle w:val="Ttulo1"/>
        <w:rPr>
          <w:rFonts w:cstheme="majorHAnsi"/>
          <w:lang w:val="es-CO"/>
        </w:rPr>
      </w:pPr>
      <w:r w:rsidRPr="004112AA">
        <w:rPr>
          <w:rFonts w:cstheme="majorHAnsi"/>
          <w:lang w:val="es-CO"/>
        </w:rPr>
        <w:t>La Autoestima: Un Viaje Clínico, Biológico y Humano hacia el Bienestar</w:t>
      </w:r>
    </w:p>
    <w:p w14:paraId="5F0B9312" w14:textId="14169BB5" w:rsidR="004112AA" w:rsidRDefault="004112AA" w:rsidP="002738D1">
      <w:pPr>
        <w:pStyle w:val="Ttulo2"/>
        <w:rPr>
          <w:rStyle w:val="Textoennegrita"/>
          <w:rFonts w:cstheme="majorHAnsi"/>
          <w:b w:val="0"/>
          <w:bCs w:val="0"/>
          <w:color w:val="134163" w:themeColor="accent2" w:themeShade="80"/>
          <w:spacing w:val="15"/>
          <w:lang w:val="es-CO"/>
        </w:rPr>
      </w:pPr>
      <w:r w:rsidRPr="00151399">
        <w:rPr>
          <w:rFonts w:cstheme="majorHAnsi"/>
          <w:noProof/>
        </w:rPr>
        <w:drawing>
          <wp:inline distT="0" distB="0" distL="0" distR="0" wp14:anchorId="42603124" wp14:editId="55F28A4C">
            <wp:extent cx="2413000" cy="3619500"/>
            <wp:effectExtent l="0" t="0" r="0" b="0"/>
            <wp:docPr id="1541718763" name="Imagen 1" descr="Imagen gener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n generad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13000" cy="3619500"/>
                    </a:xfrm>
                    <a:prstGeom prst="rect">
                      <a:avLst/>
                    </a:prstGeom>
                    <a:noFill/>
                    <a:ln>
                      <a:noFill/>
                    </a:ln>
                  </pic:spPr>
                </pic:pic>
              </a:graphicData>
            </a:graphic>
          </wp:inline>
        </w:drawing>
      </w:r>
    </w:p>
    <w:p w14:paraId="1B653107" w14:textId="77777777" w:rsidR="004112AA" w:rsidRDefault="004112AA" w:rsidP="002738D1">
      <w:pPr>
        <w:pStyle w:val="Ttulo2"/>
        <w:rPr>
          <w:rStyle w:val="Textoennegrita"/>
          <w:rFonts w:cstheme="majorHAnsi"/>
          <w:b w:val="0"/>
          <w:bCs w:val="0"/>
          <w:color w:val="134163" w:themeColor="accent2" w:themeShade="80"/>
          <w:spacing w:val="15"/>
          <w:lang w:val="es-CO"/>
        </w:rPr>
      </w:pPr>
    </w:p>
    <w:p w14:paraId="6901D8C0" w14:textId="5A160FB3" w:rsidR="00794F6E" w:rsidRPr="004112AA" w:rsidRDefault="00794F6E" w:rsidP="002738D1">
      <w:pPr>
        <w:pStyle w:val="Ttulo2"/>
        <w:rPr>
          <w:rFonts w:cstheme="majorHAnsi"/>
          <w:lang w:val="es-CO"/>
        </w:rPr>
      </w:pPr>
      <w:r w:rsidRPr="004112AA">
        <w:rPr>
          <w:rStyle w:val="Textoennegrita"/>
          <w:rFonts w:cstheme="majorHAnsi"/>
          <w:b w:val="0"/>
          <w:bCs w:val="0"/>
          <w:color w:val="134163" w:themeColor="accent2" w:themeShade="80"/>
          <w:spacing w:val="15"/>
          <w:lang w:val="es-CO"/>
        </w:rPr>
        <w:t>Introducción: ¿Por qué hablar de autoestima?</w:t>
      </w:r>
    </w:p>
    <w:p w14:paraId="06E52395" w14:textId="5B118CCD" w:rsidR="00794F6E" w:rsidRPr="00151399" w:rsidRDefault="00794F6E" w:rsidP="00151399">
      <w:pPr>
        <w:pStyle w:val="NormalWeb"/>
        <w:jc w:val="both"/>
        <w:rPr>
          <w:rFonts w:asciiTheme="majorHAnsi" w:hAnsiTheme="majorHAnsi" w:cstheme="majorHAnsi"/>
        </w:rPr>
      </w:pPr>
      <w:r w:rsidRPr="00151399">
        <w:rPr>
          <w:rFonts w:asciiTheme="majorHAnsi" w:hAnsiTheme="majorHAnsi" w:cstheme="majorHAnsi"/>
        </w:rPr>
        <w:fldChar w:fldCharType="begin"/>
      </w:r>
      <w:r w:rsidRPr="00151399">
        <w:rPr>
          <w:rFonts w:asciiTheme="majorHAnsi" w:hAnsiTheme="majorHAnsi" w:cstheme="majorHAnsi"/>
        </w:rPr>
        <w:instrText xml:space="preserve"> INCLUDEPICTURE "https://sdmntpraustraliaeast.oaiusercontent.com/files/00000000-82c4-61fa-b2a6-235543992eb2/raw?se=2025-10-02T02%3A48%3A55Z&amp;sp=r&amp;sv=2024-08-04&amp;sr=b&amp;scid=22c9096c-1633-5a19-a0ee-b5b28c93651a&amp;skoid=1e4bb9ed-6bb5-424a-a3aa-79f21566e722&amp;sktid=a48cca56-e6da-484e-a814-9c849652bcb3&amp;skt=2025-10-01T18%3A46%3A46Z&amp;ske=2025-10-02T18%3A46%3A46Z&amp;sks=b&amp;skv=2024-08-04&amp;sig=Ltj017bkuRuhdfWSpjM54ujXZPO5P6IUW3DVQwHFIbI%3D" \* MERGEFORMATINET </w:instrText>
      </w:r>
      <w:r w:rsidRPr="00151399">
        <w:rPr>
          <w:rFonts w:asciiTheme="majorHAnsi" w:hAnsiTheme="majorHAnsi" w:cstheme="majorHAnsi"/>
        </w:rPr>
        <w:fldChar w:fldCharType="separate"/>
      </w:r>
      <w:r w:rsidRPr="00151399">
        <w:rPr>
          <w:rFonts w:asciiTheme="majorHAnsi" w:hAnsiTheme="majorHAnsi" w:cstheme="majorHAnsi"/>
        </w:rPr>
        <w:fldChar w:fldCharType="end"/>
      </w:r>
      <w:r w:rsidRPr="00151399">
        <w:rPr>
          <w:rFonts w:asciiTheme="majorHAnsi" w:hAnsiTheme="majorHAnsi" w:cstheme="majorHAnsi"/>
        </w:rPr>
        <w:t xml:space="preserve">En la consulta clínica, tanto en psiquiatría como en psicología, uno de los temas que aparece con mayor frecuencia, de manera explícita o velada, es la </w:t>
      </w:r>
      <w:r w:rsidRPr="00151399">
        <w:rPr>
          <w:rStyle w:val="Textoennegrita"/>
          <w:rFonts w:asciiTheme="majorHAnsi" w:hAnsiTheme="majorHAnsi" w:cstheme="majorHAnsi"/>
        </w:rPr>
        <w:t>autoestima</w:t>
      </w:r>
      <w:r w:rsidRPr="00151399">
        <w:rPr>
          <w:rFonts w:asciiTheme="majorHAnsi" w:hAnsiTheme="majorHAnsi" w:cstheme="majorHAnsi"/>
        </w:rPr>
        <w:t>. Los pacientes llegan con frases como:</w:t>
      </w:r>
    </w:p>
    <w:p w14:paraId="1F92B8D6" w14:textId="47845606" w:rsidR="00794F6E" w:rsidRPr="00151399" w:rsidRDefault="00794F6E" w:rsidP="00151399">
      <w:pPr>
        <w:pStyle w:val="NormalWeb"/>
        <w:numPr>
          <w:ilvl w:val="0"/>
          <w:numId w:val="10"/>
        </w:numPr>
        <w:jc w:val="both"/>
        <w:rPr>
          <w:rFonts w:asciiTheme="majorHAnsi" w:hAnsiTheme="majorHAnsi" w:cstheme="majorHAnsi"/>
        </w:rPr>
      </w:pPr>
      <w:r w:rsidRPr="00151399">
        <w:rPr>
          <w:rFonts w:asciiTheme="majorHAnsi" w:hAnsiTheme="majorHAnsi" w:cstheme="majorHAnsi"/>
        </w:rPr>
        <w:t>“No me siento suficiente.”</w:t>
      </w:r>
    </w:p>
    <w:p w14:paraId="5AC9BBF0" w14:textId="552B2686" w:rsidR="00794F6E" w:rsidRPr="00151399" w:rsidRDefault="00794F6E" w:rsidP="00151399">
      <w:pPr>
        <w:pStyle w:val="NormalWeb"/>
        <w:numPr>
          <w:ilvl w:val="0"/>
          <w:numId w:val="10"/>
        </w:numPr>
        <w:jc w:val="both"/>
        <w:rPr>
          <w:rFonts w:asciiTheme="majorHAnsi" w:hAnsiTheme="majorHAnsi" w:cstheme="majorHAnsi"/>
        </w:rPr>
      </w:pPr>
      <w:r w:rsidRPr="00151399">
        <w:rPr>
          <w:rFonts w:asciiTheme="majorHAnsi" w:hAnsiTheme="majorHAnsi" w:cstheme="majorHAnsi"/>
        </w:rPr>
        <w:t>“Siempre pienso que los demás son mejores que yo.”</w:t>
      </w:r>
    </w:p>
    <w:p w14:paraId="083BC9FF" w14:textId="357D00ED" w:rsidR="00794F6E" w:rsidRPr="00151399" w:rsidRDefault="00794F6E" w:rsidP="00151399">
      <w:pPr>
        <w:pStyle w:val="NormalWeb"/>
        <w:numPr>
          <w:ilvl w:val="0"/>
          <w:numId w:val="10"/>
        </w:numPr>
        <w:jc w:val="both"/>
        <w:rPr>
          <w:rFonts w:asciiTheme="majorHAnsi" w:hAnsiTheme="majorHAnsi" w:cstheme="majorHAnsi"/>
        </w:rPr>
      </w:pPr>
      <w:r w:rsidRPr="00151399">
        <w:rPr>
          <w:rFonts w:asciiTheme="majorHAnsi" w:hAnsiTheme="majorHAnsi" w:cstheme="majorHAnsi"/>
        </w:rPr>
        <w:t>“Me cuesta mirarme al espejo sin juzgarme.”</w:t>
      </w:r>
    </w:p>
    <w:p w14:paraId="78C0ED03" w14:textId="4DC33DAB" w:rsidR="00794F6E" w:rsidRPr="00151399" w:rsidRDefault="00794F6E" w:rsidP="00151399">
      <w:pPr>
        <w:pStyle w:val="NormalWeb"/>
        <w:numPr>
          <w:ilvl w:val="0"/>
          <w:numId w:val="10"/>
        </w:numPr>
        <w:jc w:val="both"/>
        <w:rPr>
          <w:rFonts w:asciiTheme="majorHAnsi" w:hAnsiTheme="majorHAnsi" w:cstheme="majorHAnsi"/>
        </w:rPr>
      </w:pPr>
      <w:r w:rsidRPr="00151399">
        <w:rPr>
          <w:rFonts w:asciiTheme="majorHAnsi" w:hAnsiTheme="majorHAnsi" w:cstheme="majorHAnsi"/>
        </w:rPr>
        <w:t>“Aunque logre cosas, siento que no valen la pena.”</w:t>
      </w:r>
    </w:p>
    <w:p w14:paraId="1EE5FE85" w14:textId="26C32370" w:rsidR="00151399" w:rsidRPr="00151399" w:rsidRDefault="00151399" w:rsidP="00151399">
      <w:pPr>
        <w:spacing w:before="100" w:beforeAutospacing="1" w:after="100" w:afterAutospacing="1" w:line="240" w:lineRule="auto"/>
        <w:jc w:val="both"/>
        <w:rPr>
          <w:rFonts w:eastAsia="Times New Roman" w:cstheme="majorHAnsi"/>
          <w:sz w:val="24"/>
          <w:szCs w:val="24"/>
          <w:lang w:val="es-CO" w:eastAsia="es-MX"/>
        </w:rPr>
      </w:pPr>
      <w:r w:rsidRPr="00151399">
        <w:rPr>
          <w:rFonts w:eastAsia="Times New Roman" w:cstheme="majorHAnsi"/>
          <w:sz w:val="24"/>
          <w:szCs w:val="24"/>
          <w:lang w:val="es-CO" w:eastAsia="es-MX"/>
        </w:rPr>
        <w:t xml:space="preserve">Estas expresiones son el reflejo de un concepto transversal que toca todas las dimensiones de la existencia humana: </w:t>
      </w:r>
      <w:r w:rsidRPr="00151399">
        <w:rPr>
          <w:rFonts w:eastAsia="Times New Roman" w:cstheme="majorHAnsi"/>
          <w:b/>
          <w:bCs/>
          <w:sz w:val="24"/>
          <w:szCs w:val="24"/>
          <w:lang w:val="es-CO" w:eastAsia="es-MX"/>
        </w:rPr>
        <w:t>la manera en que una persona se valora, se percibe, se respeta y se acepta en su cotidianidad y en sus vínculos con los demás</w:t>
      </w:r>
      <w:r w:rsidRPr="00151399">
        <w:rPr>
          <w:rFonts w:eastAsia="Times New Roman" w:cstheme="majorHAnsi"/>
          <w:sz w:val="24"/>
          <w:szCs w:val="24"/>
          <w:lang w:val="es-CO" w:eastAsia="es-MX"/>
        </w:rPr>
        <w:t>.</w:t>
      </w:r>
    </w:p>
    <w:p w14:paraId="2C6B9561" w14:textId="3FB4951A" w:rsidR="00151399" w:rsidRPr="00151399" w:rsidRDefault="00151399" w:rsidP="00151399">
      <w:pPr>
        <w:spacing w:before="100" w:beforeAutospacing="1" w:after="100" w:afterAutospacing="1" w:line="240" w:lineRule="auto"/>
        <w:jc w:val="both"/>
        <w:rPr>
          <w:rFonts w:eastAsia="Times New Roman" w:cstheme="majorHAnsi"/>
          <w:sz w:val="24"/>
          <w:szCs w:val="24"/>
          <w:lang w:val="es-CO" w:eastAsia="es-MX"/>
        </w:rPr>
      </w:pPr>
      <w:r w:rsidRPr="00151399">
        <w:rPr>
          <w:rFonts w:eastAsia="Times New Roman" w:cstheme="majorHAnsi"/>
          <w:sz w:val="24"/>
          <w:szCs w:val="24"/>
          <w:lang w:val="es-CO" w:eastAsia="es-MX"/>
        </w:rPr>
        <w:lastRenderedPageBreak/>
        <w:t xml:space="preserve">Estas expresiones son el reflejo de un concepto transversal que toca todas las dimensiones de la existencia humana: </w:t>
      </w:r>
      <w:r w:rsidRPr="00151399">
        <w:rPr>
          <w:rFonts w:eastAsia="Times New Roman" w:cstheme="majorHAnsi"/>
          <w:b/>
          <w:bCs/>
          <w:sz w:val="24"/>
          <w:szCs w:val="24"/>
          <w:lang w:val="es-CO" w:eastAsia="es-MX"/>
        </w:rPr>
        <w:t>la manera en que una persona se valora, se percibe, se respeta y se acepta en su cotidianidad y en sus vínculos con los demás</w:t>
      </w:r>
      <w:r w:rsidRPr="00151399">
        <w:rPr>
          <w:rFonts w:eastAsia="Times New Roman" w:cstheme="majorHAnsi"/>
          <w:sz w:val="24"/>
          <w:szCs w:val="24"/>
          <w:lang w:val="es-CO" w:eastAsia="es-MX"/>
        </w:rPr>
        <w:t>.</w:t>
      </w:r>
    </w:p>
    <w:p w14:paraId="364E6369" w14:textId="1D8C29EE" w:rsidR="00151399" w:rsidRPr="00151399" w:rsidRDefault="00151399" w:rsidP="00151399">
      <w:pPr>
        <w:spacing w:before="100" w:beforeAutospacing="1" w:after="100" w:afterAutospacing="1" w:line="240" w:lineRule="auto"/>
        <w:jc w:val="both"/>
        <w:rPr>
          <w:rFonts w:eastAsia="Times New Roman" w:cstheme="majorHAnsi"/>
          <w:sz w:val="24"/>
          <w:szCs w:val="24"/>
          <w:lang w:val="es-CO" w:eastAsia="es-MX"/>
        </w:rPr>
      </w:pPr>
      <w:r w:rsidRPr="00151399">
        <w:rPr>
          <w:rFonts w:eastAsia="Times New Roman" w:cstheme="majorHAnsi"/>
          <w:sz w:val="24"/>
          <w:szCs w:val="24"/>
          <w:lang w:val="es-CO" w:eastAsia="es-MX"/>
        </w:rPr>
        <w:t xml:space="preserve">La </w:t>
      </w:r>
      <w:r w:rsidRPr="00151399">
        <w:rPr>
          <w:rFonts w:eastAsia="Times New Roman" w:cstheme="majorHAnsi"/>
          <w:b/>
          <w:bCs/>
          <w:sz w:val="24"/>
          <w:szCs w:val="24"/>
          <w:lang w:val="es-CO" w:eastAsia="es-MX"/>
        </w:rPr>
        <w:t>autoestima</w:t>
      </w:r>
      <w:r w:rsidRPr="00151399">
        <w:rPr>
          <w:rFonts w:eastAsia="Times New Roman" w:cstheme="majorHAnsi"/>
          <w:sz w:val="24"/>
          <w:szCs w:val="24"/>
          <w:lang w:val="es-CO" w:eastAsia="es-MX"/>
        </w:rPr>
        <w:t xml:space="preserve"> no debe confundirse con un simple “sentirse bien” ni con la vaga idea de “amor propio”. Es, en realidad, un </w:t>
      </w:r>
      <w:r w:rsidRPr="00151399">
        <w:rPr>
          <w:rFonts w:eastAsia="Times New Roman" w:cstheme="majorHAnsi"/>
          <w:b/>
          <w:bCs/>
          <w:sz w:val="24"/>
          <w:szCs w:val="24"/>
          <w:lang w:val="es-CO" w:eastAsia="es-MX"/>
        </w:rPr>
        <w:t>constructo psicológico y biológico dinámico</w:t>
      </w:r>
      <w:r w:rsidRPr="00151399">
        <w:rPr>
          <w:rFonts w:eastAsia="Times New Roman" w:cstheme="majorHAnsi"/>
          <w:sz w:val="24"/>
          <w:szCs w:val="24"/>
          <w:lang w:val="es-CO" w:eastAsia="es-MX"/>
        </w:rPr>
        <w:t>, que se articula en varias capas:</w:t>
      </w:r>
    </w:p>
    <w:p w14:paraId="78487D52" w14:textId="77777777" w:rsidR="00151399" w:rsidRPr="00151399" w:rsidRDefault="00151399" w:rsidP="00151399">
      <w:pPr>
        <w:numPr>
          <w:ilvl w:val="0"/>
          <w:numId w:val="21"/>
        </w:numPr>
        <w:spacing w:before="100" w:beforeAutospacing="1" w:after="100" w:afterAutospacing="1" w:line="240" w:lineRule="auto"/>
        <w:jc w:val="both"/>
        <w:rPr>
          <w:rFonts w:eastAsia="Times New Roman" w:cstheme="majorHAnsi"/>
          <w:sz w:val="24"/>
          <w:szCs w:val="24"/>
          <w:lang w:val="es-CO" w:eastAsia="es-MX"/>
        </w:rPr>
      </w:pPr>
      <w:r w:rsidRPr="00151399">
        <w:rPr>
          <w:rFonts w:eastAsia="Times New Roman" w:cstheme="majorHAnsi"/>
          <w:b/>
          <w:bCs/>
          <w:sz w:val="24"/>
          <w:szCs w:val="24"/>
          <w:lang w:val="es-CO" w:eastAsia="es-MX"/>
        </w:rPr>
        <w:t>Biológica y neuroquímica:</w:t>
      </w:r>
      <w:r w:rsidRPr="00151399">
        <w:rPr>
          <w:rFonts w:eastAsia="Times New Roman" w:cstheme="majorHAnsi"/>
          <w:sz w:val="24"/>
          <w:szCs w:val="24"/>
          <w:lang w:val="es-CO" w:eastAsia="es-MX"/>
        </w:rPr>
        <w:t xml:space="preserve"> Los circuitos cerebrales implicados en la autopercepción, la regulación emocional y la recompensa (corteza prefrontal, sistema límbico, amígdala) determinan cómo procesamos los juicios sobre nosotros mismos. Los neurotransmisores como la </w:t>
      </w:r>
      <w:r w:rsidRPr="00151399">
        <w:rPr>
          <w:rFonts w:eastAsia="Times New Roman" w:cstheme="majorHAnsi"/>
          <w:b/>
          <w:bCs/>
          <w:sz w:val="24"/>
          <w:szCs w:val="24"/>
          <w:lang w:val="es-CO" w:eastAsia="es-MX"/>
        </w:rPr>
        <w:t>serotonina</w:t>
      </w:r>
      <w:r w:rsidRPr="00151399">
        <w:rPr>
          <w:rFonts w:eastAsia="Times New Roman" w:cstheme="majorHAnsi"/>
          <w:sz w:val="24"/>
          <w:szCs w:val="24"/>
          <w:lang w:val="es-CO" w:eastAsia="es-MX"/>
        </w:rPr>
        <w:t xml:space="preserve"> y la </w:t>
      </w:r>
      <w:r w:rsidRPr="00151399">
        <w:rPr>
          <w:rFonts w:eastAsia="Times New Roman" w:cstheme="majorHAnsi"/>
          <w:b/>
          <w:bCs/>
          <w:sz w:val="24"/>
          <w:szCs w:val="24"/>
          <w:lang w:val="es-CO" w:eastAsia="es-MX"/>
        </w:rPr>
        <w:t>dopamina</w:t>
      </w:r>
      <w:r w:rsidRPr="00151399">
        <w:rPr>
          <w:rFonts w:eastAsia="Times New Roman" w:cstheme="majorHAnsi"/>
          <w:sz w:val="24"/>
          <w:szCs w:val="24"/>
          <w:lang w:val="es-CO" w:eastAsia="es-MX"/>
        </w:rPr>
        <w:t xml:space="preserve"> median el bienestar, la motivación y el refuerzo de las experiencias de éxito o fracaso.</w:t>
      </w:r>
    </w:p>
    <w:p w14:paraId="0FFCAC40" w14:textId="77777777" w:rsidR="00151399" w:rsidRPr="00151399" w:rsidRDefault="00151399" w:rsidP="00151399">
      <w:pPr>
        <w:numPr>
          <w:ilvl w:val="0"/>
          <w:numId w:val="21"/>
        </w:numPr>
        <w:spacing w:before="100" w:beforeAutospacing="1" w:after="100" w:afterAutospacing="1" w:line="240" w:lineRule="auto"/>
        <w:jc w:val="both"/>
        <w:rPr>
          <w:rFonts w:eastAsia="Times New Roman" w:cstheme="majorHAnsi"/>
          <w:sz w:val="24"/>
          <w:szCs w:val="24"/>
          <w:lang w:val="es-CO" w:eastAsia="es-MX"/>
        </w:rPr>
      </w:pPr>
      <w:r w:rsidRPr="00151399">
        <w:rPr>
          <w:rFonts w:eastAsia="Times New Roman" w:cstheme="majorHAnsi"/>
          <w:b/>
          <w:bCs/>
          <w:sz w:val="24"/>
          <w:szCs w:val="24"/>
          <w:lang w:val="es-CO" w:eastAsia="es-MX"/>
        </w:rPr>
        <w:t>Cognitiva:</w:t>
      </w:r>
      <w:r w:rsidRPr="00151399">
        <w:rPr>
          <w:rFonts w:eastAsia="Times New Roman" w:cstheme="majorHAnsi"/>
          <w:sz w:val="24"/>
          <w:szCs w:val="24"/>
          <w:lang w:val="es-CO" w:eastAsia="es-MX"/>
        </w:rPr>
        <w:t xml:space="preserve"> La autoestima se forma a partir de </w:t>
      </w:r>
      <w:r w:rsidRPr="00151399">
        <w:rPr>
          <w:rFonts w:eastAsia="Times New Roman" w:cstheme="majorHAnsi"/>
          <w:b/>
          <w:bCs/>
          <w:sz w:val="24"/>
          <w:szCs w:val="24"/>
          <w:lang w:val="es-CO" w:eastAsia="es-MX"/>
        </w:rPr>
        <w:t>esquemas tempranos</w:t>
      </w:r>
      <w:r w:rsidRPr="00151399">
        <w:rPr>
          <w:rFonts w:eastAsia="Times New Roman" w:cstheme="majorHAnsi"/>
          <w:sz w:val="24"/>
          <w:szCs w:val="24"/>
          <w:lang w:val="es-CO" w:eastAsia="es-MX"/>
        </w:rPr>
        <w:t xml:space="preserve"> y </w:t>
      </w:r>
      <w:r w:rsidRPr="00151399">
        <w:rPr>
          <w:rFonts w:eastAsia="Times New Roman" w:cstheme="majorHAnsi"/>
          <w:b/>
          <w:bCs/>
          <w:sz w:val="24"/>
          <w:szCs w:val="24"/>
          <w:lang w:val="es-CO" w:eastAsia="es-MX"/>
        </w:rPr>
        <w:t>creencias nucleares</w:t>
      </w:r>
      <w:r w:rsidRPr="00151399">
        <w:rPr>
          <w:rFonts w:eastAsia="Times New Roman" w:cstheme="majorHAnsi"/>
          <w:sz w:val="24"/>
          <w:szCs w:val="24"/>
          <w:lang w:val="es-CO" w:eastAsia="es-MX"/>
        </w:rPr>
        <w:t xml:space="preserve"> sobre el propio valor. Estas estructuras cognitivas moldean el diálogo interno, que puede ser de autocrítica destructiva o de autocompasión adaptativa.</w:t>
      </w:r>
    </w:p>
    <w:p w14:paraId="6B68D7A8" w14:textId="77777777" w:rsidR="00151399" w:rsidRPr="00151399" w:rsidRDefault="00151399" w:rsidP="00151399">
      <w:pPr>
        <w:numPr>
          <w:ilvl w:val="0"/>
          <w:numId w:val="21"/>
        </w:numPr>
        <w:spacing w:before="100" w:beforeAutospacing="1" w:after="100" w:afterAutospacing="1" w:line="240" w:lineRule="auto"/>
        <w:jc w:val="both"/>
        <w:rPr>
          <w:rFonts w:eastAsia="Times New Roman" w:cstheme="majorHAnsi"/>
          <w:sz w:val="24"/>
          <w:szCs w:val="24"/>
          <w:lang w:val="es-CO" w:eastAsia="es-MX"/>
        </w:rPr>
      </w:pPr>
      <w:r w:rsidRPr="00151399">
        <w:rPr>
          <w:rFonts w:eastAsia="Times New Roman" w:cstheme="majorHAnsi"/>
          <w:b/>
          <w:bCs/>
          <w:sz w:val="24"/>
          <w:szCs w:val="24"/>
          <w:lang w:val="es-CO" w:eastAsia="es-MX"/>
        </w:rPr>
        <w:t>Emocional:</w:t>
      </w:r>
      <w:r w:rsidRPr="00151399">
        <w:rPr>
          <w:rFonts w:eastAsia="Times New Roman" w:cstheme="majorHAnsi"/>
          <w:sz w:val="24"/>
          <w:szCs w:val="24"/>
          <w:lang w:val="es-CO" w:eastAsia="es-MX"/>
        </w:rPr>
        <w:t xml:space="preserve"> La capacidad de reconocer, validar y regular las propias emociones fortalece o debilita el sentido de valía personal. Una autoestima sólida se acompaña de resiliencia afectiva.</w:t>
      </w:r>
    </w:p>
    <w:p w14:paraId="30264204" w14:textId="77777777" w:rsidR="00151399" w:rsidRPr="00151399" w:rsidRDefault="00151399" w:rsidP="00151399">
      <w:pPr>
        <w:numPr>
          <w:ilvl w:val="0"/>
          <w:numId w:val="21"/>
        </w:numPr>
        <w:spacing w:before="100" w:beforeAutospacing="1" w:after="100" w:afterAutospacing="1" w:line="240" w:lineRule="auto"/>
        <w:jc w:val="both"/>
        <w:rPr>
          <w:rFonts w:eastAsia="Times New Roman" w:cstheme="majorHAnsi"/>
          <w:sz w:val="24"/>
          <w:szCs w:val="24"/>
          <w:lang w:val="es-CO" w:eastAsia="es-MX"/>
        </w:rPr>
      </w:pPr>
      <w:r w:rsidRPr="00151399">
        <w:rPr>
          <w:rFonts w:eastAsia="Times New Roman" w:cstheme="majorHAnsi"/>
          <w:b/>
          <w:bCs/>
          <w:sz w:val="24"/>
          <w:szCs w:val="24"/>
          <w:lang w:val="es-CO" w:eastAsia="es-MX"/>
        </w:rPr>
        <w:t>Social:</w:t>
      </w:r>
      <w:r w:rsidRPr="00151399">
        <w:rPr>
          <w:rFonts w:eastAsia="Times New Roman" w:cstheme="majorHAnsi"/>
          <w:sz w:val="24"/>
          <w:szCs w:val="24"/>
          <w:lang w:val="es-CO" w:eastAsia="es-MX"/>
        </w:rPr>
        <w:t xml:space="preserve"> Las interacciones interpersonales —aprobación, crítica, rechazo, validación— impactan directamente en la autovaloración, sobre todo en etapas críticas como la niñez, la adolescencia y la adultez temprana.</w:t>
      </w:r>
    </w:p>
    <w:p w14:paraId="46BF6234" w14:textId="77777777" w:rsidR="00151399" w:rsidRPr="00151399" w:rsidRDefault="00151399" w:rsidP="00151399">
      <w:pPr>
        <w:numPr>
          <w:ilvl w:val="0"/>
          <w:numId w:val="21"/>
        </w:numPr>
        <w:spacing w:before="100" w:beforeAutospacing="1" w:after="100" w:afterAutospacing="1" w:line="240" w:lineRule="auto"/>
        <w:jc w:val="both"/>
        <w:rPr>
          <w:rFonts w:eastAsia="Times New Roman" w:cstheme="majorHAnsi"/>
          <w:sz w:val="24"/>
          <w:szCs w:val="24"/>
          <w:lang w:val="es-CO" w:eastAsia="es-MX"/>
        </w:rPr>
      </w:pPr>
      <w:r w:rsidRPr="00151399">
        <w:rPr>
          <w:rFonts w:eastAsia="Times New Roman" w:cstheme="majorHAnsi"/>
          <w:b/>
          <w:bCs/>
          <w:sz w:val="24"/>
          <w:szCs w:val="24"/>
          <w:lang w:val="es-CO" w:eastAsia="es-MX"/>
        </w:rPr>
        <w:t>Cultural:</w:t>
      </w:r>
      <w:r w:rsidRPr="00151399">
        <w:rPr>
          <w:rFonts w:eastAsia="Times New Roman" w:cstheme="majorHAnsi"/>
          <w:sz w:val="24"/>
          <w:szCs w:val="24"/>
          <w:lang w:val="es-CO" w:eastAsia="es-MX"/>
        </w:rPr>
        <w:t xml:space="preserve"> Los modelos de belleza, éxito y poder transmitidos por la sociedad actúan como referentes externos que pueden distorsionar o enriquecer el sentido de valía personal.</w:t>
      </w:r>
    </w:p>
    <w:p w14:paraId="37273B0F" w14:textId="77777777" w:rsidR="00151399" w:rsidRPr="00151399" w:rsidRDefault="00151399" w:rsidP="00151399">
      <w:pPr>
        <w:spacing w:before="100" w:beforeAutospacing="1" w:after="100" w:afterAutospacing="1" w:line="240" w:lineRule="auto"/>
        <w:jc w:val="both"/>
        <w:rPr>
          <w:rFonts w:eastAsia="Times New Roman" w:cstheme="majorHAnsi"/>
          <w:sz w:val="24"/>
          <w:szCs w:val="24"/>
          <w:lang w:val="es-CO" w:eastAsia="es-MX"/>
        </w:rPr>
      </w:pPr>
      <w:r w:rsidRPr="00151399">
        <w:rPr>
          <w:rFonts w:eastAsia="Times New Roman" w:cstheme="majorHAnsi"/>
          <w:sz w:val="24"/>
          <w:szCs w:val="24"/>
          <w:lang w:val="es-CO" w:eastAsia="es-MX"/>
        </w:rPr>
        <w:t xml:space="preserve">Por ello, la autoestima tiene una </w:t>
      </w:r>
      <w:r w:rsidRPr="00151399">
        <w:rPr>
          <w:rFonts w:eastAsia="Times New Roman" w:cstheme="majorHAnsi"/>
          <w:b/>
          <w:bCs/>
          <w:sz w:val="24"/>
          <w:szCs w:val="24"/>
          <w:lang w:val="es-CO" w:eastAsia="es-MX"/>
        </w:rPr>
        <w:t>relevancia clínica enorme</w:t>
      </w:r>
      <w:r w:rsidRPr="00151399">
        <w:rPr>
          <w:rFonts w:eastAsia="Times New Roman" w:cstheme="majorHAnsi"/>
          <w:sz w:val="24"/>
          <w:szCs w:val="24"/>
          <w:lang w:val="es-CO" w:eastAsia="es-MX"/>
        </w:rPr>
        <w:t>: modula la salud mental, la motivación, las relaciones, la forma de enfrentar la frustración y la vulnerabilidad a trastornos como la depresión, la ansiedad, los trastornos de la conducta alimentaria o las conductas adictivas.</w:t>
      </w:r>
    </w:p>
    <w:p w14:paraId="719A90EF" w14:textId="3978DAD4" w:rsidR="00C32CCE" w:rsidRPr="004112AA" w:rsidRDefault="00C32CCE" w:rsidP="004112AA">
      <w:pPr>
        <w:pStyle w:val="Ttulo2"/>
        <w:rPr>
          <w:lang w:val="es-CO"/>
        </w:rPr>
      </w:pPr>
      <w:r w:rsidRPr="004112AA">
        <w:rPr>
          <w:rStyle w:val="Textoennegrita"/>
          <w:b w:val="0"/>
          <w:bCs w:val="0"/>
          <w:lang w:val="es-CO"/>
        </w:rPr>
        <w:t>Definición de autoestima</w:t>
      </w:r>
    </w:p>
    <w:p w14:paraId="51B70FF1" w14:textId="77777777" w:rsidR="00C32CCE" w:rsidRPr="00C32CCE" w:rsidRDefault="00C32CCE" w:rsidP="00C32CCE">
      <w:pPr>
        <w:pStyle w:val="NormalWeb"/>
        <w:jc w:val="both"/>
        <w:rPr>
          <w:rFonts w:asciiTheme="majorHAnsi" w:hAnsiTheme="majorHAnsi" w:cstheme="majorHAnsi"/>
        </w:rPr>
      </w:pPr>
      <w:r w:rsidRPr="00C32CCE">
        <w:rPr>
          <w:rFonts w:asciiTheme="majorHAnsi" w:hAnsiTheme="majorHAnsi" w:cstheme="majorHAnsi"/>
        </w:rPr>
        <w:t xml:space="preserve">La autoestima puede entenderse como la </w:t>
      </w:r>
      <w:r w:rsidRPr="00C32CCE">
        <w:rPr>
          <w:rStyle w:val="Textoennegrita"/>
          <w:rFonts w:asciiTheme="majorHAnsi" w:hAnsiTheme="majorHAnsi" w:cstheme="majorHAnsi"/>
        </w:rPr>
        <w:t>forma en que una persona se valora a sí misma</w:t>
      </w:r>
      <w:r w:rsidRPr="00C32CCE">
        <w:rPr>
          <w:rFonts w:asciiTheme="majorHAnsi" w:hAnsiTheme="majorHAnsi" w:cstheme="majorHAnsi"/>
        </w:rPr>
        <w:t>, es decir, el juicio global que hace sobre su propio valor. No se trata solo de pensar cosas positivas o negativas acerca de uno mismo, sino de una construcción más profunda que combina percepciones, emociones y creencias que se van formando a lo largo de la vida.</w:t>
      </w:r>
    </w:p>
    <w:p w14:paraId="76EB78C6" w14:textId="6C8A0507" w:rsidR="00C32CCE" w:rsidRDefault="00C32CCE" w:rsidP="00C32CCE">
      <w:pPr>
        <w:pStyle w:val="NormalWeb"/>
        <w:jc w:val="both"/>
        <w:rPr>
          <w:rStyle w:val="Textoennegrita"/>
          <w:rFonts w:asciiTheme="majorHAnsi" w:hAnsiTheme="majorHAnsi" w:cstheme="majorHAnsi"/>
        </w:rPr>
      </w:pPr>
      <w:r w:rsidRPr="00C32CCE">
        <w:rPr>
          <w:rFonts w:asciiTheme="majorHAnsi" w:hAnsiTheme="majorHAnsi" w:cstheme="majorHAnsi"/>
        </w:rPr>
        <w:t>Cuando hablamos de autoestima, nos referimos a la respuesta interna a una pregunta que todos, en algún momento, nos hacemos:</w:t>
      </w:r>
      <w:r>
        <w:rPr>
          <w:rFonts w:asciiTheme="majorHAnsi" w:hAnsiTheme="majorHAnsi" w:cstheme="majorHAnsi"/>
        </w:rPr>
        <w:t xml:space="preserve"> </w:t>
      </w:r>
      <w:r w:rsidRPr="00C32CCE">
        <w:rPr>
          <w:rStyle w:val="Textoennegrita"/>
          <w:rFonts w:asciiTheme="majorHAnsi" w:hAnsiTheme="majorHAnsi" w:cstheme="majorHAnsi"/>
        </w:rPr>
        <w:t>“¿Cuánto valgo para mí mismo?”</w:t>
      </w:r>
    </w:p>
    <w:p w14:paraId="391981F3" w14:textId="77777777" w:rsidR="00C32CCE" w:rsidRPr="00C32CCE" w:rsidRDefault="00C32CCE" w:rsidP="00C32CCE">
      <w:pPr>
        <w:pStyle w:val="NormalWeb"/>
        <w:jc w:val="both"/>
        <w:rPr>
          <w:rFonts w:asciiTheme="majorHAnsi" w:hAnsiTheme="majorHAnsi" w:cstheme="majorHAnsi"/>
        </w:rPr>
      </w:pPr>
    </w:p>
    <w:p w14:paraId="0BA25466" w14:textId="6C6FD5B9" w:rsidR="00C32CCE" w:rsidRPr="004112AA" w:rsidRDefault="00C32CCE" w:rsidP="004112AA">
      <w:pPr>
        <w:pStyle w:val="Ttulo3"/>
      </w:pPr>
      <w:r w:rsidRPr="004112AA">
        <w:rPr>
          <w:rStyle w:val="Textoennegrita"/>
          <w:b w:val="0"/>
          <w:bCs w:val="0"/>
          <w:color w:val="134162" w:themeColor="accent2" w:themeShade="7F"/>
          <w:spacing w:val="0"/>
        </w:rPr>
        <w:t>Componentes de la autoestima</w:t>
      </w:r>
    </w:p>
    <w:p w14:paraId="6D8C967B" w14:textId="77777777" w:rsidR="00C32CCE" w:rsidRPr="00C32CCE" w:rsidRDefault="00C32CCE" w:rsidP="00C32CCE">
      <w:pPr>
        <w:pStyle w:val="NormalWeb"/>
        <w:jc w:val="both"/>
        <w:rPr>
          <w:rFonts w:asciiTheme="majorHAnsi" w:hAnsiTheme="majorHAnsi" w:cstheme="majorHAnsi"/>
        </w:rPr>
      </w:pPr>
      <w:r w:rsidRPr="00C32CCE">
        <w:rPr>
          <w:rFonts w:asciiTheme="majorHAnsi" w:hAnsiTheme="majorHAnsi" w:cstheme="majorHAnsi"/>
        </w:rPr>
        <w:t>En psicología clínica suele distinguirse entre dos componentes principales que, aunque están íntimamente relacionados, cumplen funciones diferentes:</w:t>
      </w:r>
    </w:p>
    <w:p w14:paraId="4575ED30" w14:textId="77777777" w:rsidR="00C32CCE" w:rsidRPr="00C32CCE" w:rsidRDefault="00C32CCE" w:rsidP="00C32CCE">
      <w:pPr>
        <w:pStyle w:val="NormalWeb"/>
        <w:numPr>
          <w:ilvl w:val="0"/>
          <w:numId w:val="22"/>
        </w:numPr>
        <w:jc w:val="both"/>
        <w:rPr>
          <w:rFonts w:asciiTheme="majorHAnsi" w:hAnsiTheme="majorHAnsi" w:cstheme="majorHAnsi"/>
        </w:rPr>
      </w:pPr>
      <w:r w:rsidRPr="00C32CCE">
        <w:rPr>
          <w:rStyle w:val="Textoennegrita"/>
          <w:rFonts w:asciiTheme="majorHAnsi" w:hAnsiTheme="majorHAnsi" w:cstheme="majorHAnsi"/>
        </w:rPr>
        <w:t>La autoimagen</w:t>
      </w:r>
      <w:r w:rsidRPr="00C32CCE">
        <w:rPr>
          <w:rFonts w:asciiTheme="majorHAnsi" w:hAnsiTheme="majorHAnsi" w:cstheme="majorHAnsi"/>
        </w:rPr>
        <w:t>: se refiere a cómo me percibo. Incluye aspectos físicos (“cómo veo mi cuerpo”), psicológicos (“soy una persona responsable”, “me considero tímido”) y sociales (“soy buen amigo”, “los demás no me valoran”). La autoimagen es como el retrato mental que tenemos de nosotros mismos.</w:t>
      </w:r>
    </w:p>
    <w:p w14:paraId="581911B1" w14:textId="77777777" w:rsidR="00C32CCE" w:rsidRPr="00C32CCE" w:rsidRDefault="00C32CCE" w:rsidP="00C32CCE">
      <w:pPr>
        <w:pStyle w:val="NormalWeb"/>
        <w:jc w:val="both"/>
        <w:rPr>
          <w:rFonts w:asciiTheme="majorHAnsi" w:hAnsiTheme="majorHAnsi" w:cstheme="majorHAnsi"/>
          <w:i/>
          <w:iCs/>
        </w:rPr>
      </w:pPr>
      <w:r w:rsidRPr="00C32CCE">
        <w:rPr>
          <w:rStyle w:val="nfasis"/>
          <w:rFonts w:asciiTheme="majorHAnsi" w:hAnsiTheme="majorHAnsi" w:cstheme="majorHAnsi"/>
          <w:i/>
          <w:iCs/>
        </w:rPr>
        <w:t>Ejemplo</w:t>
      </w:r>
      <w:r w:rsidRPr="00C32CCE">
        <w:rPr>
          <w:rFonts w:asciiTheme="majorHAnsi" w:hAnsiTheme="majorHAnsi" w:cstheme="majorHAnsi"/>
          <w:i/>
          <w:iCs/>
        </w:rPr>
        <w:t>: una persona puede tener una autoimagen de “soy alguien trabajador”, mientras otra, a pesar de tener un rendimiento similar, puede pensar “nunca hago lo suficiente”.</w:t>
      </w:r>
    </w:p>
    <w:p w14:paraId="54C8A989" w14:textId="77777777" w:rsidR="00C32CCE" w:rsidRPr="00C32CCE" w:rsidRDefault="00C32CCE" w:rsidP="00C32CCE">
      <w:pPr>
        <w:pStyle w:val="NormalWeb"/>
        <w:numPr>
          <w:ilvl w:val="0"/>
          <w:numId w:val="22"/>
        </w:numPr>
        <w:jc w:val="both"/>
        <w:rPr>
          <w:rFonts w:asciiTheme="majorHAnsi" w:hAnsiTheme="majorHAnsi" w:cstheme="majorHAnsi"/>
        </w:rPr>
      </w:pPr>
      <w:r w:rsidRPr="00C32CCE">
        <w:rPr>
          <w:rStyle w:val="Textoennegrita"/>
          <w:rFonts w:asciiTheme="majorHAnsi" w:hAnsiTheme="majorHAnsi" w:cstheme="majorHAnsi"/>
        </w:rPr>
        <w:t>La autoevaluación</w:t>
      </w:r>
      <w:r w:rsidRPr="00C32CCE">
        <w:rPr>
          <w:rFonts w:asciiTheme="majorHAnsi" w:hAnsiTheme="majorHAnsi" w:cstheme="majorHAnsi"/>
        </w:rPr>
        <w:t>: es el juicio de valor que hago sobre esa imagen. Aquí entran en juego mis criterios internos de éxito, fracaso, aceptación o rechazo. No es lo mismo pensar “soy tímido” (autoimagen) que concluir “ser tímido es algo malo, por eso no valgo” (autoevaluación).</w:t>
      </w:r>
    </w:p>
    <w:p w14:paraId="311CDEBD" w14:textId="77777777" w:rsidR="00C32CCE" w:rsidRPr="00C32CCE" w:rsidRDefault="00C32CCE" w:rsidP="00C32CCE">
      <w:pPr>
        <w:pStyle w:val="NormalWeb"/>
        <w:jc w:val="both"/>
        <w:rPr>
          <w:rFonts w:asciiTheme="majorHAnsi" w:hAnsiTheme="majorHAnsi" w:cstheme="majorHAnsi"/>
          <w:i/>
          <w:iCs/>
        </w:rPr>
      </w:pPr>
      <w:r w:rsidRPr="00C32CCE">
        <w:rPr>
          <w:rStyle w:val="nfasis"/>
          <w:rFonts w:asciiTheme="majorHAnsi" w:hAnsiTheme="majorHAnsi" w:cstheme="majorHAnsi"/>
          <w:i/>
          <w:iCs/>
        </w:rPr>
        <w:t>Ejemplo</w:t>
      </w:r>
      <w:r w:rsidRPr="00C32CCE">
        <w:rPr>
          <w:rFonts w:asciiTheme="majorHAnsi" w:hAnsiTheme="majorHAnsi" w:cstheme="majorHAnsi"/>
          <w:i/>
          <w:iCs/>
        </w:rPr>
        <w:t>: dos adolescentes pueden describirse como “no muy buenos en deportes”. Uno lo asume con tranquilidad (“me gustan más las artes, y eso está bien”), mientras que el otro lo vive como un defecto que disminuye su valor.</w:t>
      </w:r>
    </w:p>
    <w:p w14:paraId="3B99B6B4" w14:textId="77777777" w:rsidR="00C32CCE" w:rsidRDefault="00C32CCE" w:rsidP="00C32CCE">
      <w:pPr>
        <w:pStyle w:val="NormalWeb"/>
        <w:jc w:val="both"/>
        <w:rPr>
          <w:rFonts w:asciiTheme="majorHAnsi" w:hAnsiTheme="majorHAnsi" w:cstheme="majorHAnsi"/>
        </w:rPr>
      </w:pPr>
      <w:r w:rsidRPr="00C32CCE">
        <w:rPr>
          <w:rFonts w:ascii="Apple Color Emoji" w:hAnsi="Apple Color Emoji" w:cs="Apple Color Emoji"/>
        </w:rPr>
        <w:t>👉</w:t>
      </w:r>
      <w:r w:rsidRPr="00C32CCE">
        <w:rPr>
          <w:rFonts w:asciiTheme="majorHAnsi" w:hAnsiTheme="majorHAnsi" w:cstheme="majorHAnsi"/>
        </w:rPr>
        <w:t xml:space="preserve"> En otras palabras: la autoestima no es solo “cómo me veo”, sino “cómo juzgo lo que veo”.</w:t>
      </w:r>
    </w:p>
    <w:p w14:paraId="65794B27" w14:textId="39F91D5C" w:rsidR="004112AA" w:rsidRPr="00C32CCE" w:rsidRDefault="004112AA" w:rsidP="00C32CCE">
      <w:pPr>
        <w:pStyle w:val="NormalWeb"/>
        <w:jc w:val="both"/>
        <w:rPr>
          <w:rFonts w:asciiTheme="majorHAnsi" w:hAnsiTheme="majorHAnsi" w:cstheme="majorHAnsi"/>
        </w:rPr>
      </w:pPr>
      <w:r>
        <w:rPr>
          <w:rFonts w:asciiTheme="majorHAnsi" w:hAnsiTheme="majorHAnsi" w:cstheme="majorHAnsi"/>
        </w:rPr>
        <w:t>Cuando hablamos de autoestima debemos tener en cuenta su importancia en varios aspectos de la vida cotidiana, a continuación te doy un ejemplo de ellos</w:t>
      </w:r>
    </w:p>
    <w:p w14:paraId="6F77DDEF" w14:textId="2903BB73" w:rsidR="00C32CCE" w:rsidRPr="004112AA" w:rsidRDefault="00C32CCE" w:rsidP="00C32CCE">
      <w:pPr>
        <w:pStyle w:val="Ttulo3"/>
        <w:rPr>
          <w:lang w:val="es-CO"/>
        </w:rPr>
      </w:pPr>
      <w:r w:rsidRPr="004112AA">
        <w:rPr>
          <w:rStyle w:val="Textoennegrita"/>
          <w:b w:val="0"/>
          <w:bCs w:val="0"/>
          <w:color w:val="134162" w:themeColor="accent2" w:themeShade="7F"/>
          <w:spacing w:val="0"/>
          <w:lang w:val="es-CO"/>
        </w:rPr>
        <w:t xml:space="preserve">La autoestima </w:t>
      </w:r>
      <w:r w:rsidR="004112AA">
        <w:rPr>
          <w:rStyle w:val="Textoennegrita"/>
          <w:b w:val="0"/>
          <w:bCs w:val="0"/>
          <w:color w:val="134162" w:themeColor="accent2" w:themeShade="7F"/>
          <w:spacing w:val="0"/>
          <w:lang w:val="es-CO"/>
        </w:rPr>
        <w:t>ES</w:t>
      </w:r>
      <w:r w:rsidRPr="004112AA">
        <w:rPr>
          <w:rStyle w:val="Textoennegrita"/>
          <w:b w:val="0"/>
          <w:bCs w:val="0"/>
          <w:color w:val="134162" w:themeColor="accent2" w:themeShade="7F"/>
          <w:spacing w:val="0"/>
          <w:lang w:val="es-CO"/>
        </w:rPr>
        <w:t xml:space="preserve"> un proceso dinámico</w:t>
      </w:r>
    </w:p>
    <w:p w14:paraId="648A1CDF" w14:textId="77777777" w:rsidR="00C32CCE" w:rsidRPr="00C32CCE" w:rsidRDefault="00C32CCE" w:rsidP="00C32CCE">
      <w:pPr>
        <w:pStyle w:val="NormalWeb"/>
        <w:jc w:val="both"/>
        <w:rPr>
          <w:rFonts w:asciiTheme="majorHAnsi" w:hAnsiTheme="majorHAnsi" w:cstheme="majorHAnsi"/>
        </w:rPr>
      </w:pPr>
      <w:r w:rsidRPr="00C32CCE">
        <w:rPr>
          <w:rFonts w:asciiTheme="majorHAnsi" w:hAnsiTheme="majorHAnsi" w:cstheme="majorHAnsi"/>
        </w:rPr>
        <w:t xml:space="preserve">Es importante aclarar que la autoestima </w:t>
      </w:r>
      <w:r w:rsidRPr="00C32CCE">
        <w:rPr>
          <w:rStyle w:val="Textoennegrita"/>
          <w:rFonts w:asciiTheme="majorHAnsi" w:hAnsiTheme="majorHAnsi" w:cstheme="majorHAnsi"/>
        </w:rPr>
        <w:t>no es estática</w:t>
      </w:r>
      <w:r w:rsidRPr="00C32CCE">
        <w:rPr>
          <w:rFonts w:asciiTheme="majorHAnsi" w:hAnsiTheme="majorHAnsi" w:cstheme="majorHAnsi"/>
        </w:rPr>
        <w:t>. Puede variar según el momento de la vida, las experiencias que atravesamos y el entorno en el que nos desarrollamos.</w:t>
      </w:r>
    </w:p>
    <w:p w14:paraId="21828B61" w14:textId="77777777" w:rsidR="00C32CCE" w:rsidRPr="00C32CCE" w:rsidRDefault="00C32CCE" w:rsidP="00C32CCE">
      <w:pPr>
        <w:pStyle w:val="NormalWeb"/>
        <w:numPr>
          <w:ilvl w:val="0"/>
          <w:numId w:val="23"/>
        </w:numPr>
        <w:jc w:val="both"/>
        <w:rPr>
          <w:rFonts w:asciiTheme="majorHAnsi" w:hAnsiTheme="majorHAnsi" w:cstheme="majorHAnsi"/>
        </w:rPr>
      </w:pPr>
      <w:r w:rsidRPr="00C32CCE">
        <w:rPr>
          <w:rFonts w:asciiTheme="majorHAnsi" w:hAnsiTheme="majorHAnsi" w:cstheme="majorHAnsi"/>
        </w:rPr>
        <w:t>Un niño con alta autoestima puede enfrentar dificultades en la adolescencia si recibe críticas constantes o se expone a comparaciones en redes sociales.</w:t>
      </w:r>
    </w:p>
    <w:p w14:paraId="2829BF16" w14:textId="77777777" w:rsidR="00C32CCE" w:rsidRPr="00C32CCE" w:rsidRDefault="00C32CCE" w:rsidP="00C32CCE">
      <w:pPr>
        <w:pStyle w:val="NormalWeb"/>
        <w:numPr>
          <w:ilvl w:val="0"/>
          <w:numId w:val="23"/>
        </w:numPr>
        <w:jc w:val="both"/>
        <w:rPr>
          <w:rFonts w:asciiTheme="majorHAnsi" w:hAnsiTheme="majorHAnsi" w:cstheme="majorHAnsi"/>
        </w:rPr>
      </w:pPr>
      <w:r w:rsidRPr="00C32CCE">
        <w:rPr>
          <w:rFonts w:asciiTheme="majorHAnsi" w:hAnsiTheme="majorHAnsi" w:cstheme="majorHAnsi"/>
        </w:rPr>
        <w:t>Una persona adulta con baja autoestima puede fortalecerla al lograr objetivos personales, recibir apoyo terapéutico o encontrar un entorno de validación.</w:t>
      </w:r>
    </w:p>
    <w:p w14:paraId="64948755" w14:textId="77777777" w:rsidR="00C32CCE" w:rsidRPr="00C32CCE" w:rsidRDefault="00C32CCE" w:rsidP="00C32CCE">
      <w:pPr>
        <w:pStyle w:val="NormalWeb"/>
        <w:jc w:val="both"/>
        <w:rPr>
          <w:rFonts w:asciiTheme="majorHAnsi" w:hAnsiTheme="majorHAnsi" w:cstheme="majorHAnsi"/>
        </w:rPr>
      </w:pPr>
      <w:r w:rsidRPr="00C32CCE">
        <w:rPr>
          <w:rFonts w:ascii="Apple Color Emoji" w:hAnsi="Apple Color Emoji" w:cs="Apple Color Emoji"/>
        </w:rPr>
        <w:t>👉</w:t>
      </w:r>
      <w:r w:rsidRPr="00C32CCE">
        <w:rPr>
          <w:rFonts w:asciiTheme="majorHAnsi" w:hAnsiTheme="majorHAnsi" w:cstheme="majorHAnsi"/>
        </w:rPr>
        <w:t xml:space="preserve"> La autoestima es como un músculo: puede debilitarse en ciertos contextos, pero también puede ejercitarse y crecer con práctica, acompañamiento y experiencias de refuerzo.</w:t>
      </w:r>
    </w:p>
    <w:p w14:paraId="19E3F74D" w14:textId="77777777" w:rsidR="00C32CCE" w:rsidRPr="004112AA" w:rsidRDefault="00C32CCE" w:rsidP="00C32CCE">
      <w:pPr>
        <w:pStyle w:val="Ttulo3"/>
        <w:rPr>
          <w:lang w:val="es-CO"/>
        </w:rPr>
      </w:pPr>
      <w:r w:rsidRPr="004112AA">
        <w:rPr>
          <w:rStyle w:val="Textoennegrita"/>
          <w:b w:val="0"/>
          <w:bCs w:val="0"/>
          <w:color w:val="134162" w:themeColor="accent2" w:themeShade="7F"/>
          <w:spacing w:val="0"/>
          <w:lang w:val="es-CO"/>
        </w:rPr>
        <w:lastRenderedPageBreak/>
        <w:t>Autoestima y su impacto en la vida cotidiana</w:t>
      </w:r>
    </w:p>
    <w:p w14:paraId="59930BB4" w14:textId="77777777" w:rsidR="00C32CCE" w:rsidRPr="00C32CCE" w:rsidRDefault="00C32CCE" w:rsidP="00C32CCE">
      <w:pPr>
        <w:pStyle w:val="NormalWeb"/>
        <w:jc w:val="both"/>
        <w:rPr>
          <w:rFonts w:asciiTheme="majorHAnsi" w:hAnsiTheme="majorHAnsi" w:cstheme="majorHAnsi"/>
        </w:rPr>
      </w:pPr>
      <w:r w:rsidRPr="00C32CCE">
        <w:rPr>
          <w:rFonts w:asciiTheme="majorHAnsi" w:hAnsiTheme="majorHAnsi" w:cstheme="majorHAnsi"/>
        </w:rPr>
        <w:t>La manera en que nos valoramos se refleja en muchos aspectos de nuestra vida. Algunas situaciones comunes muestran cómo opera:</w:t>
      </w:r>
    </w:p>
    <w:p w14:paraId="7934E436" w14:textId="77777777" w:rsidR="00C32CCE" w:rsidRPr="00C32CCE" w:rsidRDefault="00C32CCE" w:rsidP="00C32CCE">
      <w:pPr>
        <w:pStyle w:val="NormalWeb"/>
        <w:numPr>
          <w:ilvl w:val="0"/>
          <w:numId w:val="24"/>
        </w:numPr>
        <w:jc w:val="both"/>
        <w:rPr>
          <w:rFonts w:asciiTheme="majorHAnsi" w:hAnsiTheme="majorHAnsi" w:cstheme="majorHAnsi"/>
        </w:rPr>
      </w:pPr>
      <w:r w:rsidRPr="00C32CCE">
        <w:rPr>
          <w:rStyle w:val="Textoennegrita"/>
          <w:rFonts w:asciiTheme="majorHAnsi" w:hAnsiTheme="majorHAnsi" w:cstheme="majorHAnsi"/>
        </w:rPr>
        <w:t>En el trabajo o estudio</w:t>
      </w:r>
      <w:r w:rsidRPr="00C32CCE">
        <w:rPr>
          <w:rFonts w:asciiTheme="majorHAnsi" w:hAnsiTheme="majorHAnsi" w:cstheme="majorHAnsi"/>
        </w:rPr>
        <w:t>: una persona con buena autoestima puede recibir una retroalimentación negativa y pensar “es una oportunidad de mejorar”. En cambio, alguien con baja autoestima puede interpretarlo como “soy un fracaso, nunca haré nada bien”.</w:t>
      </w:r>
    </w:p>
    <w:p w14:paraId="7D23D410" w14:textId="77777777" w:rsidR="00C32CCE" w:rsidRPr="00C32CCE" w:rsidRDefault="00C32CCE" w:rsidP="00C32CCE">
      <w:pPr>
        <w:pStyle w:val="NormalWeb"/>
        <w:numPr>
          <w:ilvl w:val="0"/>
          <w:numId w:val="24"/>
        </w:numPr>
        <w:jc w:val="both"/>
        <w:rPr>
          <w:rFonts w:asciiTheme="majorHAnsi" w:hAnsiTheme="majorHAnsi" w:cstheme="majorHAnsi"/>
        </w:rPr>
      </w:pPr>
      <w:r w:rsidRPr="00C32CCE">
        <w:rPr>
          <w:rStyle w:val="Textoennegrita"/>
          <w:rFonts w:asciiTheme="majorHAnsi" w:hAnsiTheme="majorHAnsi" w:cstheme="majorHAnsi"/>
        </w:rPr>
        <w:t>En las relaciones afectivas</w:t>
      </w:r>
      <w:r w:rsidRPr="00C32CCE">
        <w:rPr>
          <w:rFonts w:asciiTheme="majorHAnsi" w:hAnsiTheme="majorHAnsi" w:cstheme="majorHAnsi"/>
        </w:rPr>
        <w:t>: quien se siente valioso puede poner límites sanos, decir “no” cuando algo le incomoda y pedir lo que necesita. Una persona con baja autoestima puede callar por miedo a perder al otro, tolerar maltrato o vivir con inseguridad constante.</w:t>
      </w:r>
    </w:p>
    <w:p w14:paraId="628B71F5" w14:textId="77777777" w:rsidR="00C32CCE" w:rsidRPr="00C32CCE" w:rsidRDefault="00C32CCE" w:rsidP="00C32CCE">
      <w:pPr>
        <w:pStyle w:val="NormalWeb"/>
        <w:numPr>
          <w:ilvl w:val="0"/>
          <w:numId w:val="24"/>
        </w:numPr>
        <w:jc w:val="both"/>
        <w:rPr>
          <w:rFonts w:asciiTheme="majorHAnsi" w:hAnsiTheme="majorHAnsi" w:cstheme="majorHAnsi"/>
        </w:rPr>
      </w:pPr>
      <w:r w:rsidRPr="00C32CCE">
        <w:rPr>
          <w:rStyle w:val="Textoennegrita"/>
          <w:rFonts w:asciiTheme="majorHAnsi" w:hAnsiTheme="majorHAnsi" w:cstheme="majorHAnsi"/>
        </w:rPr>
        <w:t>En los logros personales</w:t>
      </w:r>
      <w:r w:rsidRPr="00C32CCE">
        <w:rPr>
          <w:rFonts w:asciiTheme="majorHAnsi" w:hAnsiTheme="majorHAnsi" w:cstheme="majorHAnsi"/>
        </w:rPr>
        <w:t>: alguien con autoestima sólida celebra sus avances, aunque sean pequeños (“corrí 10 minutos más que ayer, estoy progresando”). En cambio, quien tiene autoestima frágil puede invalidar sus logros (“sí, corrí, pero fue muy poco, de nada sirve”).</w:t>
      </w:r>
    </w:p>
    <w:p w14:paraId="78B6764B" w14:textId="77777777" w:rsidR="00C32CCE" w:rsidRPr="004112AA" w:rsidRDefault="00C32CCE" w:rsidP="00C32CCE">
      <w:pPr>
        <w:pStyle w:val="Ttulo3"/>
        <w:rPr>
          <w:lang w:val="es-CO"/>
        </w:rPr>
      </w:pPr>
      <w:r w:rsidRPr="004112AA">
        <w:rPr>
          <w:rStyle w:val="Textoennegrita"/>
          <w:b w:val="0"/>
          <w:bCs w:val="0"/>
          <w:color w:val="134162" w:themeColor="accent2" w:themeShade="7F"/>
          <w:spacing w:val="0"/>
          <w:lang w:val="es-CO"/>
        </w:rPr>
        <w:t>Autoestima y salud mental</w:t>
      </w:r>
    </w:p>
    <w:p w14:paraId="0AE50D11" w14:textId="77777777" w:rsidR="00C32CCE" w:rsidRPr="00C32CCE" w:rsidRDefault="00C32CCE" w:rsidP="00C32CCE">
      <w:pPr>
        <w:pStyle w:val="NormalWeb"/>
        <w:jc w:val="both"/>
        <w:rPr>
          <w:rFonts w:asciiTheme="majorHAnsi" w:hAnsiTheme="majorHAnsi" w:cstheme="majorHAnsi"/>
        </w:rPr>
      </w:pPr>
      <w:r w:rsidRPr="00C32CCE">
        <w:rPr>
          <w:rFonts w:asciiTheme="majorHAnsi" w:hAnsiTheme="majorHAnsi" w:cstheme="majorHAnsi"/>
        </w:rPr>
        <w:t xml:space="preserve">Desde un punto de vista clínico, la autoestima se convierte en un </w:t>
      </w:r>
      <w:r w:rsidRPr="00C32CCE">
        <w:rPr>
          <w:rStyle w:val="Textoennegrita"/>
          <w:rFonts w:asciiTheme="majorHAnsi" w:hAnsiTheme="majorHAnsi" w:cstheme="majorHAnsi"/>
        </w:rPr>
        <w:t>factor protector o de riesgo</w:t>
      </w:r>
      <w:r w:rsidRPr="00C32CCE">
        <w:rPr>
          <w:rFonts w:asciiTheme="majorHAnsi" w:hAnsiTheme="majorHAnsi" w:cstheme="majorHAnsi"/>
        </w:rPr>
        <w:t xml:space="preserve"> para la salud mental.</w:t>
      </w:r>
    </w:p>
    <w:p w14:paraId="1032F55C" w14:textId="77777777" w:rsidR="00C32CCE" w:rsidRPr="00C32CCE" w:rsidRDefault="00C32CCE" w:rsidP="00C32CCE">
      <w:pPr>
        <w:pStyle w:val="NormalWeb"/>
        <w:numPr>
          <w:ilvl w:val="0"/>
          <w:numId w:val="25"/>
        </w:numPr>
        <w:jc w:val="both"/>
        <w:rPr>
          <w:rFonts w:asciiTheme="majorHAnsi" w:hAnsiTheme="majorHAnsi" w:cstheme="majorHAnsi"/>
        </w:rPr>
      </w:pPr>
      <w:r w:rsidRPr="00C32CCE">
        <w:rPr>
          <w:rFonts w:asciiTheme="majorHAnsi" w:hAnsiTheme="majorHAnsi" w:cstheme="majorHAnsi"/>
        </w:rPr>
        <w:t>Una autoestima fortalecida ayuda a prevenir síntomas de depresión, facilita la recuperación tras una pérdida y fomenta la resiliencia en momentos de crisis.</w:t>
      </w:r>
    </w:p>
    <w:p w14:paraId="0DFB7609" w14:textId="77777777" w:rsidR="00C32CCE" w:rsidRPr="00C32CCE" w:rsidRDefault="00C32CCE" w:rsidP="00C32CCE">
      <w:pPr>
        <w:pStyle w:val="NormalWeb"/>
        <w:numPr>
          <w:ilvl w:val="0"/>
          <w:numId w:val="25"/>
        </w:numPr>
        <w:jc w:val="both"/>
        <w:rPr>
          <w:rFonts w:asciiTheme="majorHAnsi" w:hAnsiTheme="majorHAnsi" w:cstheme="majorHAnsi"/>
        </w:rPr>
      </w:pPr>
      <w:r w:rsidRPr="00C32CCE">
        <w:rPr>
          <w:rFonts w:asciiTheme="majorHAnsi" w:hAnsiTheme="majorHAnsi" w:cstheme="majorHAnsi"/>
        </w:rPr>
        <w:t>Una autoestima deteriorada aumenta la vulnerabilidad frente a la ansiedad, la depresión, los trastornos de la conducta alimentaria, el abuso de sustancias y la dependencia emocional.</w:t>
      </w:r>
    </w:p>
    <w:p w14:paraId="02EBDFCF" w14:textId="48B5653A" w:rsidR="00C32CCE" w:rsidRPr="00C32CCE" w:rsidRDefault="00C32CCE" w:rsidP="00C32CCE">
      <w:pPr>
        <w:pStyle w:val="NormalWeb"/>
        <w:jc w:val="both"/>
        <w:rPr>
          <w:rFonts w:asciiTheme="majorHAnsi" w:hAnsiTheme="majorHAnsi" w:cstheme="majorHAnsi"/>
          <w:i/>
          <w:iCs/>
        </w:rPr>
      </w:pPr>
      <w:r w:rsidRPr="00C32CCE">
        <w:rPr>
          <w:rStyle w:val="nfasis"/>
          <w:rFonts w:asciiTheme="majorHAnsi" w:hAnsiTheme="majorHAnsi" w:cstheme="majorHAnsi"/>
          <w:i/>
          <w:iCs/>
        </w:rPr>
        <w:t>Ejemplo</w:t>
      </w:r>
      <w:r w:rsidRPr="00C32CCE">
        <w:rPr>
          <w:rFonts w:asciiTheme="majorHAnsi" w:hAnsiTheme="majorHAnsi" w:cstheme="majorHAnsi"/>
          <w:i/>
          <w:iCs/>
        </w:rPr>
        <w:t>: una persona con alta autoestima que pierde su empleo puede sentir tristeza y preocupación, pero mantiene la confianza en que encontrará otra oportunidad. Una persona con baja autoestima puede interpretar la misma situación como “prueba de que no sirvo para nada”, lo cual puede llevar a un estado depresivo.</w:t>
      </w:r>
    </w:p>
    <w:p w14:paraId="48B77BCE" w14:textId="77777777" w:rsidR="00C32CCE" w:rsidRPr="004112AA" w:rsidRDefault="00C32CCE" w:rsidP="00C32CCE">
      <w:pPr>
        <w:pStyle w:val="Ttulo3"/>
        <w:rPr>
          <w:lang w:val="es-CO"/>
        </w:rPr>
      </w:pPr>
      <w:r w:rsidRPr="004112AA">
        <w:rPr>
          <w:rStyle w:val="Textoennegrita"/>
          <w:b w:val="0"/>
          <w:bCs w:val="0"/>
          <w:color w:val="134162" w:themeColor="accent2" w:themeShade="7F"/>
          <w:spacing w:val="0"/>
          <w:lang w:val="es-CO"/>
        </w:rPr>
        <w:t>La autoestima como construcción interna y social</w:t>
      </w:r>
    </w:p>
    <w:p w14:paraId="421562BB" w14:textId="77777777" w:rsidR="00C32CCE" w:rsidRPr="00C32CCE" w:rsidRDefault="00C32CCE" w:rsidP="00C32CCE">
      <w:pPr>
        <w:pStyle w:val="NormalWeb"/>
        <w:jc w:val="both"/>
        <w:rPr>
          <w:rFonts w:asciiTheme="majorHAnsi" w:hAnsiTheme="majorHAnsi" w:cstheme="majorHAnsi"/>
        </w:rPr>
      </w:pPr>
      <w:r w:rsidRPr="00C32CCE">
        <w:rPr>
          <w:rFonts w:asciiTheme="majorHAnsi" w:hAnsiTheme="majorHAnsi" w:cstheme="majorHAnsi"/>
        </w:rPr>
        <w:t>Aunque solemos pensar en la autoestima como algo individual, en realidad se forma en gran parte gracias al entorno.</w:t>
      </w:r>
    </w:p>
    <w:p w14:paraId="4979720E" w14:textId="77777777" w:rsidR="00C32CCE" w:rsidRPr="00C32CCE" w:rsidRDefault="00C32CCE" w:rsidP="00C32CCE">
      <w:pPr>
        <w:pStyle w:val="NormalWeb"/>
        <w:numPr>
          <w:ilvl w:val="0"/>
          <w:numId w:val="26"/>
        </w:numPr>
        <w:jc w:val="both"/>
        <w:rPr>
          <w:rFonts w:asciiTheme="majorHAnsi" w:hAnsiTheme="majorHAnsi" w:cstheme="majorHAnsi"/>
        </w:rPr>
      </w:pPr>
      <w:r w:rsidRPr="00C32CCE">
        <w:rPr>
          <w:rStyle w:val="Textoennegrita"/>
          <w:rFonts w:asciiTheme="majorHAnsi" w:hAnsiTheme="majorHAnsi" w:cstheme="majorHAnsi"/>
        </w:rPr>
        <w:t>En la infancia</w:t>
      </w:r>
      <w:r w:rsidRPr="00C32CCE">
        <w:rPr>
          <w:rFonts w:asciiTheme="majorHAnsi" w:hAnsiTheme="majorHAnsi" w:cstheme="majorHAnsi"/>
        </w:rPr>
        <w:t>, la validación de padres y cuidadores juega un papel esencial: frases de apoyo, reconocimiento de logros y aceptación de errores enseñan al niño que es valioso.</w:t>
      </w:r>
    </w:p>
    <w:p w14:paraId="53195FEC" w14:textId="77777777" w:rsidR="00C32CCE" w:rsidRPr="00C32CCE" w:rsidRDefault="00C32CCE" w:rsidP="00C32CCE">
      <w:pPr>
        <w:pStyle w:val="NormalWeb"/>
        <w:numPr>
          <w:ilvl w:val="0"/>
          <w:numId w:val="26"/>
        </w:numPr>
        <w:jc w:val="both"/>
        <w:rPr>
          <w:rFonts w:asciiTheme="majorHAnsi" w:hAnsiTheme="majorHAnsi" w:cstheme="majorHAnsi"/>
        </w:rPr>
      </w:pPr>
      <w:r w:rsidRPr="00C32CCE">
        <w:rPr>
          <w:rStyle w:val="Textoennegrita"/>
          <w:rFonts w:asciiTheme="majorHAnsi" w:hAnsiTheme="majorHAnsi" w:cstheme="majorHAnsi"/>
        </w:rPr>
        <w:lastRenderedPageBreak/>
        <w:t>En la adolescencia</w:t>
      </w:r>
      <w:r w:rsidRPr="00C32CCE">
        <w:rPr>
          <w:rFonts w:asciiTheme="majorHAnsi" w:hAnsiTheme="majorHAnsi" w:cstheme="majorHAnsi"/>
        </w:rPr>
        <w:t>, la opinión de pares y la comparación social tienen un gran peso. Las redes sociales hoy cumplen un rol decisivo en cómo los jóvenes se perciben a sí mismos.</w:t>
      </w:r>
    </w:p>
    <w:p w14:paraId="0F81BC9A" w14:textId="77777777" w:rsidR="00C32CCE" w:rsidRPr="00C32CCE" w:rsidRDefault="00C32CCE" w:rsidP="00C32CCE">
      <w:pPr>
        <w:pStyle w:val="NormalWeb"/>
        <w:numPr>
          <w:ilvl w:val="0"/>
          <w:numId w:val="26"/>
        </w:numPr>
        <w:jc w:val="both"/>
        <w:rPr>
          <w:rFonts w:asciiTheme="majorHAnsi" w:hAnsiTheme="majorHAnsi" w:cstheme="majorHAnsi"/>
        </w:rPr>
      </w:pPr>
      <w:r w:rsidRPr="00C32CCE">
        <w:rPr>
          <w:rStyle w:val="Textoennegrita"/>
          <w:rFonts w:asciiTheme="majorHAnsi" w:hAnsiTheme="majorHAnsi" w:cstheme="majorHAnsi"/>
        </w:rPr>
        <w:t>En la adultez</w:t>
      </w:r>
      <w:r w:rsidRPr="00C32CCE">
        <w:rPr>
          <w:rFonts w:asciiTheme="majorHAnsi" w:hAnsiTheme="majorHAnsi" w:cstheme="majorHAnsi"/>
        </w:rPr>
        <w:t>, las experiencias laborales, las relaciones de pareja y los proyectos de vida van moldeando la percepción del propio valor.</w:t>
      </w:r>
    </w:p>
    <w:p w14:paraId="7F2D0794" w14:textId="77777777" w:rsidR="00C32CCE" w:rsidRPr="00C32CCE" w:rsidRDefault="00C32CCE" w:rsidP="00C32CCE">
      <w:pPr>
        <w:pStyle w:val="NormalWeb"/>
        <w:jc w:val="both"/>
        <w:rPr>
          <w:rFonts w:asciiTheme="majorHAnsi" w:hAnsiTheme="majorHAnsi" w:cstheme="majorHAnsi"/>
        </w:rPr>
      </w:pPr>
      <w:r w:rsidRPr="00C32CCE">
        <w:rPr>
          <w:rFonts w:ascii="Apple Color Emoji" w:hAnsi="Apple Color Emoji" w:cs="Apple Color Emoji"/>
        </w:rPr>
        <w:t>👉</w:t>
      </w:r>
      <w:r w:rsidRPr="00C32CCE">
        <w:rPr>
          <w:rFonts w:asciiTheme="majorHAnsi" w:hAnsiTheme="majorHAnsi" w:cstheme="majorHAnsi"/>
        </w:rPr>
        <w:t xml:space="preserve"> Esto significa que la autoestima no depende únicamente de “pensar bonito” sobre uno mismo, sino de un entramado de experiencias vitales y sociales que nos influyen constantemente.</w:t>
      </w:r>
    </w:p>
    <w:p w14:paraId="01AE2DF3" w14:textId="36D7C384" w:rsidR="00C32CCE" w:rsidRPr="004112AA" w:rsidRDefault="00C32CCE" w:rsidP="00C32CCE">
      <w:pPr>
        <w:pStyle w:val="Ttulo3"/>
        <w:rPr>
          <w:lang w:val="es-CO"/>
        </w:rPr>
      </w:pPr>
      <w:r w:rsidRPr="004112AA">
        <w:rPr>
          <w:rStyle w:val="Textoennegrita"/>
          <w:b w:val="0"/>
          <w:bCs w:val="0"/>
          <w:color w:val="134162" w:themeColor="accent2" w:themeShade="7F"/>
          <w:spacing w:val="0"/>
          <w:lang w:val="es-CO"/>
        </w:rPr>
        <w:t>En resumen</w:t>
      </w:r>
    </w:p>
    <w:p w14:paraId="25EEAE0C" w14:textId="5097D707" w:rsidR="000123D2" w:rsidRDefault="000123D2" w:rsidP="000123D2">
      <w:pPr>
        <w:pStyle w:val="NormalWeb"/>
        <w:jc w:val="center"/>
        <w:rPr>
          <w:rFonts w:asciiTheme="majorHAnsi" w:hAnsiTheme="majorHAnsi" w:cstheme="majorHAnsi"/>
        </w:rPr>
      </w:pPr>
      <w:r>
        <w:fldChar w:fldCharType="begin"/>
      </w:r>
      <w:r w:rsidRPr="000123D2">
        <w:instrText xml:space="preserve"> INCLUDEPICTURE "https://sdmntprnorthcentralus.oaiusercontent.com/files/00000000-29cc-622f-bfe6-47ba6d98c59e/raw?se=2025-10-05T04%3A17%3A54Z&amp;sp=r&amp;sv=2024-08-04&amp;sr=b&amp;scid=de248910-aafe-5abe-91c4-e7041856db76&amp;skoid=77636ecc-ad8d-44df-baa7-163b524a0261&amp;sktid=a48cca56-e6da-484e-a814-9c849652bcb3&amp;skt=2025-10-04T10%3A12%3A30Z&amp;ske=2025-10-05T10%3A12%3A30Z&amp;sks=b&amp;skv=2024-08-04&amp;sig=SsWgptjXJkKWiqqTs6SJo/c0A/uzsPat4EN/XOKdWcI%3D" \* MERGEFORMATINET </w:instrText>
      </w:r>
      <w:r>
        <w:fldChar w:fldCharType="separate"/>
      </w:r>
      <w:r>
        <w:rPr>
          <w:noProof/>
        </w:rPr>
        <w:drawing>
          <wp:inline distT="0" distB="0" distL="0" distR="0" wp14:anchorId="6C210B1F" wp14:editId="54C2E595">
            <wp:extent cx="2857500" cy="2857500"/>
            <wp:effectExtent l="0" t="0" r="0" b="0"/>
            <wp:docPr id="1017118270" name="Imagen 1" descr="Imagen gener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n generad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r>
        <w:fldChar w:fldCharType="end"/>
      </w:r>
    </w:p>
    <w:p w14:paraId="12257CC0" w14:textId="0E747D11" w:rsidR="00C32CCE" w:rsidRPr="00C32CCE" w:rsidRDefault="00C32CCE" w:rsidP="00C32CCE">
      <w:pPr>
        <w:pStyle w:val="NormalWeb"/>
        <w:jc w:val="both"/>
        <w:rPr>
          <w:rFonts w:asciiTheme="majorHAnsi" w:hAnsiTheme="majorHAnsi" w:cstheme="majorHAnsi"/>
        </w:rPr>
      </w:pPr>
      <w:r w:rsidRPr="00C32CCE">
        <w:rPr>
          <w:rFonts w:asciiTheme="majorHAnsi" w:hAnsiTheme="majorHAnsi" w:cstheme="majorHAnsi"/>
        </w:rPr>
        <w:t xml:space="preserve">La autoestima es la suma de </w:t>
      </w:r>
      <w:r w:rsidRPr="00C32CCE">
        <w:rPr>
          <w:rStyle w:val="Textoennegrita"/>
          <w:rFonts w:asciiTheme="majorHAnsi" w:hAnsiTheme="majorHAnsi" w:cstheme="majorHAnsi"/>
        </w:rPr>
        <w:t>cómo nos vemos (autoimagen)</w:t>
      </w:r>
      <w:r w:rsidRPr="00C32CCE">
        <w:rPr>
          <w:rFonts w:asciiTheme="majorHAnsi" w:hAnsiTheme="majorHAnsi" w:cstheme="majorHAnsi"/>
        </w:rPr>
        <w:t xml:space="preserve"> y </w:t>
      </w:r>
      <w:r w:rsidRPr="00C32CCE">
        <w:rPr>
          <w:rStyle w:val="Textoennegrita"/>
          <w:rFonts w:asciiTheme="majorHAnsi" w:hAnsiTheme="majorHAnsi" w:cstheme="majorHAnsi"/>
        </w:rPr>
        <w:t>cómo evaluamos lo que vemos (autoevaluación)</w:t>
      </w:r>
      <w:r w:rsidRPr="00C32CCE">
        <w:rPr>
          <w:rFonts w:asciiTheme="majorHAnsi" w:hAnsiTheme="majorHAnsi" w:cstheme="majorHAnsi"/>
        </w:rPr>
        <w:t>, dentro de un proceso dinámico que cambia con la historia personal y el contexto.</w:t>
      </w:r>
    </w:p>
    <w:p w14:paraId="432F9171" w14:textId="6847DC6A" w:rsidR="00C32CCE" w:rsidRDefault="00C32CCE" w:rsidP="00C32CCE">
      <w:pPr>
        <w:pStyle w:val="NormalWeb"/>
        <w:jc w:val="both"/>
        <w:rPr>
          <w:rFonts w:asciiTheme="majorHAnsi" w:hAnsiTheme="majorHAnsi" w:cstheme="majorHAnsi"/>
        </w:rPr>
      </w:pPr>
      <w:r w:rsidRPr="00C32CCE">
        <w:rPr>
          <w:rFonts w:asciiTheme="majorHAnsi" w:hAnsiTheme="majorHAnsi" w:cstheme="majorHAnsi"/>
        </w:rPr>
        <w:t>Comprenderla desde esta perspectiva permite entender por qué no basta con decir “ámate más” o “ten pensamientos positivos”: fortalecer la autoestima requiere trabajar con nuestras creencias, emociones, vínculos y experiencias vitales.</w:t>
      </w:r>
    </w:p>
    <w:p w14:paraId="34CA5625" w14:textId="74F244EA" w:rsidR="00C32CCE" w:rsidRPr="00C32CCE" w:rsidRDefault="00C32CCE" w:rsidP="000123D2">
      <w:pPr>
        <w:pStyle w:val="NormalWeb"/>
        <w:jc w:val="center"/>
        <w:rPr>
          <w:rFonts w:asciiTheme="majorHAnsi" w:hAnsiTheme="majorHAnsi" w:cstheme="majorHAnsi"/>
        </w:rPr>
      </w:pPr>
    </w:p>
    <w:p w14:paraId="73538B40" w14:textId="71E8D783" w:rsidR="00794F6E" w:rsidRPr="004112AA" w:rsidRDefault="008274B3" w:rsidP="001C1338">
      <w:pPr>
        <w:pStyle w:val="Ttulo2"/>
        <w:rPr>
          <w:lang w:val="es-CO"/>
        </w:rPr>
      </w:pPr>
      <w:r>
        <w:rPr>
          <w:rStyle w:val="Textoennegrita"/>
          <w:b w:val="0"/>
          <w:bCs w:val="0"/>
          <w:color w:val="134163" w:themeColor="accent2" w:themeShade="80"/>
          <w:spacing w:val="15"/>
          <w:lang w:val="es-CO"/>
        </w:rPr>
        <w:t>la autoestima y la psicología</w:t>
      </w:r>
    </w:p>
    <w:p w14:paraId="042500C8" w14:textId="77777777" w:rsidR="008274B3" w:rsidRPr="008274B3" w:rsidRDefault="008274B3" w:rsidP="008274B3">
      <w:pPr>
        <w:jc w:val="both"/>
        <w:rPr>
          <w:rFonts w:cstheme="majorHAnsi"/>
          <w:sz w:val="24"/>
          <w:szCs w:val="24"/>
          <w:lang w:val="es-CO"/>
        </w:rPr>
      </w:pPr>
      <w:r w:rsidRPr="008274B3">
        <w:rPr>
          <w:rFonts w:cstheme="majorHAnsi"/>
          <w:sz w:val="24"/>
          <w:szCs w:val="24"/>
          <w:lang w:val="es-CO"/>
        </w:rPr>
        <w:t xml:space="preserve">Hablar de autoestima es hablar del diálogo que cada persona mantiene consigo misma todos los días. No es una idea fija ni un rasgo que uno “tiene o no tiene”, sino un proceso vivo, que se transforma a medida que cambiamos, aprendemos y nos enfrentamos al </w:t>
      </w:r>
      <w:r w:rsidRPr="008274B3">
        <w:rPr>
          <w:rFonts w:cstheme="majorHAnsi"/>
          <w:sz w:val="24"/>
          <w:szCs w:val="24"/>
          <w:lang w:val="es-CO"/>
        </w:rPr>
        <w:lastRenderedPageBreak/>
        <w:t>mundo. Desde la psicología clínica, entender la autoestima implica comprender la manera en que cada individuo se mira, se trata y se interpreta. Es, en esencia, el modo en que nos hablamos cuando nadie más nos escucha.</w:t>
      </w:r>
    </w:p>
    <w:p w14:paraId="1A9BAAA2" w14:textId="77777777" w:rsidR="008274B3" w:rsidRPr="008274B3" w:rsidRDefault="008274B3" w:rsidP="008274B3">
      <w:pPr>
        <w:jc w:val="both"/>
        <w:rPr>
          <w:rFonts w:cstheme="majorHAnsi"/>
          <w:sz w:val="24"/>
          <w:szCs w:val="24"/>
          <w:lang w:val="es-CO"/>
        </w:rPr>
      </w:pPr>
      <w:r w:rsidRPr="008274B3">
        <w:rPr>
          <w:rFonts w:cstheme="majorHAnsi"/>
          <w:sz w:val="24"/>
          <w:szCs w:val="24"/>
          <w:lang w:val="es-CO"/>
        </w:rPr>
        <w:t xml:space="preserve">La historia de cómo se ha comprendido la autoestima es también la historia de cómo la psicología ha intentado entender al ser humano. A finales del siglo XIX, William James propuso una idea sencilla pero poderosa: nuestra autoestima depende de la relación entre lo que esperamos de nosotros y lo que realmente logramos. Si nuestras expectativas son imposibles de alcanzar, nos sentiremos frustrados, aunque nuestros logros sean valiosos. Pero si logramos equilibrar esas aspiraciones con la realidad, nuestra autoestima se mantiene estable. Es una fórmula básica, pero profundamente humana: </w:t>
      </w:r>
      <w:r w:rsidRPr="008274B3">
        <w:rPr>
          <w:rFonts w:cstheme="majorHAnsi"/>
          <w:i/>
          <w:iCs/>
          <w:sz w:val="24"/>
          <w:szCs w:val="24"/>
          <w:lang w:val="es-CO"/>
        </w:rPr>
        <w:t>sentirnos valiosos no tiene que ver con hacerlo todo perfecto, sino con reconocer que lo que hacemos ya tiene valor.</w:t>
      </w:r>
    </w:p>
    <w:p w14:paraId="60EDBA9E" w14:textId="77777777" w:rsidR="008274B3" w:rsidRPr="008274B3" w:rsidRDefault="008274B3" w:rsidP="008274B3">
      <w:pPr>
        <w:jc w:val="both"/>
        <w:rPr>
          <w:rFonts w:cstheme="majorHAnsi"/>
          <w:sz w:val="24"/>
          <w:szCs w:val="24"/>
          <w:lang w:val="es-CO"/>
        </w:rPr>
      </w:pPr>
      <w:r w:rsidRPr="008274B3">
        <w:rPr>
          <w:rFonts w:cstheme="majorHAnsi"/>
          <w:sz w:val="24"/>
          <w:szCs w:val="24"/>
          <w:lang w:val="es-CO"/>
        </w:rPr>
        <w:t>Décadas después, Carl Rogers, uno de los padres de la psicología humanista, planteó que la autoestima nace del grado de congruencia entre nuestro “yo real” y nuestro “yo ideal”. Todos tenemos una versión de lo que nos gustaría ser: más pacientes, más seguros, más exitosos, más felices. El problema aparece cuando esa imagen ideal se vuelve inalcanzable o demasiado exigente, y olvidamos valorar lo que ya somos hoy. Cuando una persona se permite aceptarse, sin renunciar a mejorar pero sin castigarse por no ser perfecta, esa congruencia crece, y con ella, la paz interna.</w:t>
      </w:r>
    </w:p>
    <w:p w14:paraId="1B1D2125" w14:textId="77777777" w:rsidR="008274B3" w:rsidRPr="008274B3" w:rsidRDefault="008274B3" w:rsidP="008274B3">
      <w:pPr>
        <w:jc w:val="both"/>
        <w:rPr>
          <w:rFonts w:cstheme="majorHAnsi"/>
          <w:sz w:val="24"/>
          <w:szCs w:val="24"/>
          <w:lang w:val="es-CO"/>
        </w:rPr>
      </w:pPr>
      <w:r w:rsidRPr="008274B3">
        <w:rPr>
          <w:rFonts w:cstheme="majorHAnsi"/>
          <w:sz w:val="24"/>
          <w:szCs w:val="24"/>
          <w:lang w:val="es-CO"/>
        </w:rPr>
        <w:t>Más tarde, la psicología cognitiva agregó otro matiz esencial: la autoestima también está formada por las creencias y pensamientos que repetimos en silencio. Cada uno tiene un diálogo interno, a veces amable, otras veces cruel. Hay quienes se acompañan con palabras de aliento —“puedo intentarlo”, “tengo derecho a equivocarme”— y hay quienes se sabotean con frases invisibles que hieren —“no sirvo”, “nadie me querrá”, “todo lo hago mal”—. Lo que pensamos sobre nosotros mismos, incluso sin darnos cuenta, moldea lo que sentimos y cómo actuamos. Por eso, aprender a hablarse con respeto y compasión no es una frase bonita de autoayuda: es una práctica clínica profunda, capaz de cambiar la forma en que el cerebro procesa las emociones.</w:t>
      </w:r>
    </w:p>
    <w:p w14:paraId="478D4D3A" w14:textId="77777777" w:rsidR="008274B3" w:rsidRPr="008274B3" w:rsidRDefault="008274B3" w:rsidP="008274B3">
      <w:pPr>
        <w:jc w:val="both"/>
        <w:rPr>
          <w:rFonts w:cstheme="majorHAnsi"/>
          <w:sz w:val="24"/>
          <w:szCs w:val="24"/>
          <w:lang w:val="es-CO"/>
        </w:rPr>
      </w:pPr>
      <w:r w:rsidRPr="008274B3">
        <w:rPr>
          <w:rFonts w:cstheme="majorHAnsi"/>
          <w:sz w:val="24"/>
          <w:szCs w:val="24"/>
          <w:lang w:val="es-CO"/>
        </w:rPr>
        <w:t>Una autoestima sana no es un estado permanente, sino un equilibrio que se cultiva. Modula la manera en que respondemos a la frustración. Cuando algo sale mal, la persona con una autoestima fortalecida puede sentir tristeza o enojo, pero no se derrumba; reconoce el error, aprende y vuelve a intentarlo. En cambio, quien vive desde la autocrítica constante suele interpretar cada tropiezo como una confirmación de su “incapacidad”.</w:t>
      </w:r>
    </w:p>
    <w:p w14:paraId="12D87A2C" w14:textId="77777777" w:rsidR="008274B3" w:rsidRPr="008274B3" w:rsidRDefault="008274B3" w:rsidP="008274B3">
      <w:pPr>
        <w:jc w:val="both"/>
        <w:rPr>
          <w:rFonts w:cstheme="majorHAnsi"/>
          <w:sz w:val="24"/>
          <w:szCs w:val="24"/>
          <w:lang w:val="es-CO"/>
        </w:rPr>
      </w:pPr>
      <w:r w:rsidRPr="008274B3">
        <w:rPr>
          <w:rFonts w:cstheme="majorHAnsi"/>
          <w:sz w:val="24"/>
          <w:szCs w:val="24"/>
          <w:lang w:val="es-CO"/>
        </w:rPr>
        <w:t xml:space="preserve">La autoestima también define nuestra relación con el error. Quien se valora puede equivocarse sin perder su dignidad, porque entiende que el error es parte del crecimiento. Esa flexibilidad mental —la llamada </w:t>
      </w:r>
      <w:r w:rsidRPr="008274B3">
        <w:rPr>
          <w:rFonts w:cstheme="majorHAnsi"/>
          <w:i/>
          <w:iCs/>
          <w:sz w:val="24"/>
          <w:szCs w:val="24"/>
          <w:lang w:val="es-CO"/>
        </w:rPr>
        <w:t>flexibilidad cognitiva</w:t>
      </w:r>
      <w:r w:rsidRPr="008274B3">
        <w:rPr>
          <w:rFonts w:cstheme="majorHAnsi"/>
          <w:sz w:val="24"/>
          <w:szCs w:val="24"/>
          <w:lang w:val="es-CO"/>
        </w:rPr>
        <w:t>— es lo que permite avanzar, ajustar y evolucionar sin sentirse menos por tropezar.</w:t>
      </w:r>
    </w:p>
    <w:p w14:paraId="15D3A422" w14:textId="77777777" w:rsidR="008274B3" w:rsidRPr="008274B3" w:rsidRDefault="008274B3" w:rsidP="008274B3">
      <w:pPr>
        <w:jc w:val="both"/>
        <w:rPr>
          <w:rFonts w:cstheme="majorHAnsi"/>
          <w:sz w:val="24"/>
          <w:szCs w:val="24"/>
          <w:lang w:val="es-CO"/>
        </w:rPr>
      </w:pPr>
      <w:r w:rsidRPr="008274B3">
        <w:rPr>
          <w:rFonts w:cstheme="majorHAnsi"/>
          <w:sz w:val="24"/>
          <w:szCs w:val="24"/>
          <w:lang w:val="es-CO"/>
        </w:rPr>
        <w:lastRenderedPageBreak/>
        <w:t>Además, la autoestima influye directamente en la motivación. Cuando confiamos en nuestro valor, sentimos que nuestros esfuerzos tienen sentido. Nos levantamos por la mañana con el impulso de intentarlo una vez más. Pero cuando esa valoración interna está debilitada, todo esfuerzo parece inútil, y la apatía se instala como una sombra.</w:t>
      </w:r>
    </w:p>
    <w:p w14:paraId="734C5E07" w14:textId="77777777" w:rsidR="008274B3" w:rsidRPr="008274B3" w:rsidRDefault="008274B3" w:rsidP="008274B3">
      <w:pPr>
        <w:jc w:val="both"/>
        <w:rPr>
          <w:rFonts w:cstheme="majorHAnsi"/>
          <w:sz w:val="24"/>
          <w:szCs w:val="24"/>
          <w:lang w:val="es-CO"/>
        </w:rPr>
      </w:pPr>
      <w:r w:rsidRPr="008274B3">
        <w:rPr>
          <w:rFonts w:cstheme="majorHAnsi"/>
          <w:sz w:val="24"/>
          <w:szCs w:val="24"/>
          <w:lang w:val="es-CO"/>
        </w:rPr>
        <w:t>Por último, la autoestima define cómo amamos y cómo nos dejamos amar. Cuando una persona se siente valiosa, puede poner límites sin culpa y recibir cariño sin miedo. En cambio, una autoestima frágil busca aprobación constante o se conforma con relaciones donde el afecto se confunde con dependencia.</w:t>
      </w:r>
    </w:p>
    <w:p w14:paraId="53C01CCA" w14:textId="77777777" w:rsidR="008274B3" w:rsidRPr="008274B3" w:rsidRDefault="008274B3" w:rsidP="008274B3">
      <w:pPr>
        <w:jc w:val="both"/>
        <w:rPr>
          <w:rFonts w:cstheme="majorHAnsi"/>
          <w:sz w:val="24"/>
          <w:szCs w:val="24"/>
          <w:lang w:val="es-CO"/>
        </w:rPr>
      </w:pPr>
      <w:r w:rsidRPr="008274B3">
        <w:rPr>
          <w:rFonts w:cstheme="majorHAnsi"/>
          <w:sz w:val="24"/>
          <w:szCs w:val="24"/>
          <w:lang w:val="es-CO"/>
        </w:rPr>
        <w:t>En consulta, trabajar la autoestima es como enseñar a una persona a reconstruir su propio espejo: uno que no distorsione, que no amplifique los defectos ni borre las virtudes. No se trata de que el reflejo sea perfecto, sino de que sea real y amable. Porque solo cuando aprendemos a mirarnos con comprensión, dejamos de exigirnos tanto y empezamos, por fin, a cuidarnos de verdad.</w:t>
      </w:r>
    </w:p>
    <w:p w14:paraId="2ABDEBB7" w14:textId="77777777" w:rsidR="00C32CCE" w:rsidRPr="004112AA" w:rsidRDefault="00C32CCE" w:rsidP="00151399">
      <w:pPr>
        <w:pStyle w:val="Ttulo2"/>
        <w:jc w:val="both"/>
        <w:rPr>
          <w:rStyle w:val="Textoennegrita"/>
          <w:rFonts w:cstheme="majorHAnsi"/>
          <w:b w:val="0"/>
          <w:bCs w:val="0"/>
          <w:color w:val="134163" w:themeColor="accent2" w:themeShade="80"/>
          <w:spacing w:val="15"/>
          <w:lang w:val="es-CO"/>
        </w:rPr>
      </w:pPr>
    </w:p>
    <w:p w14:paraId="1B1D621C" w14:textId="51211DA5" w:rsidR="00794F6E" w:rsidRPr="004112AA" w:rsidRDefault="00794F6E" w:rsidP="00C32CCE">
      <w:pPr>
        <w:pStyle w:val="Ttulo2"/>
        <w:rPr>
          <w:lang w:val="es-CO"/>
        </w:rPr>
      </w:pPr>
      <w:r w:rsidRPr="004112AA">
        <w:rPr>
          <w:rStyle w:val="Textoennegrita"/>
          <w:b w:val="0"/>
          <w:bCs w:val="0"/>
          <w:color w:val="134163" w:themeColor="accent2" w:themeShade="80"/>
          <w:spacing w:val="15"/>
          <w:lang w:val="es-CO"/>
        </w:rPr>
        <w:t>La autoestima desde la neurobiología</w:t>
      </w:r>
    </w:p>
    <w:p w14:paraId="46BFDFF9" w14:textId="77777777" w:rsidR="00CA5CF8" w:rsidRPr="00CA5CF8" w:rsidRDefault="00CA5CF8" w:rsidP="00CA5CF8">
      <w:pPr>
        <w:pStyle w:val="NormalWeb"/>
        <w:jc w:val="both"/>
        <w:rPr>
          <w:rFonts w:asciiTheme="majorHAnsi" w:hAnsiTheme="majorHAnsi" w:cstheme="majorHAnsi"/>
        </w:rPr>
      </w:pPr>
      <w:r w:rsidRPr="00CA5CF8">
        <w:rPr>
          <w:rFonts w:asciiTheme="majorHAnsi" w:hAnsiTheme="majorHAnsi" w:cstheme="majorHAnsi"/>
        </w:rPr>
        <w:t xml:space="preserve">Hablar de autoestima no es solo hablar de emociones o pensamientos. Es, en realidad, hablar del cerebro y de cómo este organiza la experiencia de sentirnos valiosos, capaces y dignos. La autoestima no es únicamente una idea que tenemos sobre nosotros mismos: es una experiencia </w:t>
      </w:r>
      <w:r w:rsidRPr="00CA5CF8">
        <w:rPr>
          <w:rFonts w:asciiTheme="majorHAnsi" w:hAnsiTheme="majorHAnsi" w:cstheme="majorHAnsi"/>
          <w:b/>
          <w:bCs/>
        </w:rPr>
        <w:t>neurobiológica</w:t>
      </w:r>
      <w:r w:rsidRPr="00CA5CF8">
        <w:rPr>
          <w:rFonts w:asciiTheme="majorHAnsi" w:hAnsiTheme="majorHAnsi" w:cstheme="majorHAnsi"/>
        </w:rPr>
        <w:t>, profundamente entrelazada con las estructuras cerebrales que regulan el estado de ánimo, la motivación, la percepción y la conexión social.</w:t>
      </w:r>
    </w:p>
    <w:p w14:paraId="4A00341D" w14:textId="77777777" w:rsidR="00CA5CF8" w:rsidRPr="00CA5CF8" w:rsidRDefault="00CA5CF8" w:rsidP="00CA5CF8">
      <w:pPr>
        <w:pStyle w:val="NormalWeb"/>
        <w:jc w:val="both"/>
        <w:rPr>
          <w:rFonts w:asciiTheme="majorHAnsi" w:hAnsiTheme="majorHAnsi" w:cstheme="majorHAnsi"/>
        </w:rPr>
      </w:pPr>
      <w:r w:rsidRPr="00CA5CF8">
        <w:rPr>
          <w:rFonts w:asciiTheme="majorHAnsi" w:hAnsiTheme="majorHAnsi" w:cstheme="majorHAnsi"/>
        </w:rPr>
        <w:t xml:space="preserve">Cuando una persona dice “me siento bien conmigo mismo” o, por el contrario, “no sirvo para nada”, no está haciendo solo una reflexión mental: está expresando el resultado de </w:t>
      </w:r>
      <w:r w:rsidRPr="00CA5CF8">
        <w:rPr>
          <w:rFonts w:asciiTheme="majorHAnsi" w:hAnsiTheme="majorHAnsi" w:cstheme="majorHAnsi"/>
          <w:b/>
          <w:bCs/>
        </w:rPr>
        <w:t>redes neuronales</w:t>
      </w:r>
      <w:r w:rsidRPr="00CA5CF8">
        <w:rPr>
          <w:rFonts w:asciiTheme="majorHAnsi" w:hAnsiTheme="majorHAnsi" w:cstheme="majorHAnsi"/>
        </w:rPr>
        <w:t xml:space="preserve"> que se comunican entre sí, interpretan el mundo, generan emociones y determinan cómo nos tratamos a nosotros mismos.</w:t>
      </w:r>
    </w:p>
    <w:p w14:paraId="0C24DD99" w14:textId="77777777" w:rsidR="00CA5CF8" w:rsidRPr="00CA5CF8" w:rsidRDefault="00CA5CF8" w:rsidP="00CA5CF8">
      <w:pPr>
        <w:pStyle w:val="Ttulo4"/>
      </w:pPr>
      <w:r w:rsidRPr="00CA5CF8">
        <w:t>El cerebro como escenario de la autoestima</w:t>
      </w:r>
    </w:p>
    <w:p w14:paraId="7D560088" w14:textId="77777777" w:rsidR="00CA5CF8" w:rsidRPr="00CA5CF8" w:rsidRDefault="00CA5CF8" w:rsidP="00CA5CF8">
      <w:pPr>
        <w:pStyle w:val="NormalWeb"/>
        <w:jc w:val="both"/>
        <w:rPr>
          <w:rFonts w:asciiTheme="majorHAnsi" w:hAnsiTheme="majorHAnsi" w:cstheme="majorHAnsi"/>
        </w:rPr>
      </w:pPr>
      <w:r w:rsidRPr="00CA5CF8">
        <w:rPr>
          <w:rFonts w:asciiTheme="majorHAnsi" w:hAnsiTheme="majorHAnsi" w:cstheme="majorHAnsi"/>
        </w:rPr>
        <w:t xml:space="preserve">Diversas investigaciones en neurociencia han demostrado que la autoestima no se encuentra en una sola parte del cerebro, sino que depende de la interacción entre varios sistemas. Estos mismos circuitos también están implicados en la aparición de muchas </w:t>
      </w:r>
      <w:r w:rsidRPr="00CA5CF8">
        <w:rPr>
          <w:rFonts w:asciiTheme="majorHAnsi" w:hAnsiTheme="majorHAnsi" w:cstheme="majorHAnsi"/>
          <w:b/>
          <w:bCs/>
        </w:rPr>
        <w:t>enfermedades mentales</w:t>
      </w:r>
      <w:r w:rsidRPr="00CA5CF8">
        <w:rPr>
          <w:rFonts w:asciiTheme="majorHAnsi" w:hAnsiTheme="majorHAnsi" w:cstheme="majorHAnsi"/>
        </w:rPr>
        <w:t>, lo que explica por qué una autoestima deteriorada puede acompañar cuadros como depresión, ansiedad o trastornos de personalidad.</w:t>
      </w:r>
    </w:p>
    <w:p w14:paraId="3528943F" w14:textId="77777777" w:rsidR="00CA5CF8" w:rsidRDefault="00CA5CF8" w:rsidP="00CA5CF8">
      <w:pPr>
        <w:pStyle w:val="NormalWeb"/>
        <w:numPr>
          <w:ilvl w:val="0"/>
          <w:numId w:val="27"/>
        </w:numPr>
        <w:jc w:val="both"/>
        <w:rPr>
          <w:rFonts w:asciiTheme="majorHAnsi" w:hAnsiTheme="majorHAnsi" w:cstheme="majorHAnsi"/>
        </w:rPr>
      </w:pPr>
      <w:r w:rsidRPr="00CA5CF8">
        <w:rPr>
          <w:rFonts w:asciiTheme="majorHAnsi" w:hAnsiTheme="majorHAnsi" w:cstheme="majorHAnsi"/>
          <w:b/>
          <w:bCs/>
        </w:rPr>
        <w:t>Corteza prefrontal medial</w:t>
      </w:r>
      <w:r w:rsidRPr="00CA5CF8">
        <w:rPr>
          <w:rFonts w:asciiTheme="majorHAnsi" w:hAnsiTheme="majorHAnsi" w:cstheme="majorHAnsi"/>
        </w:rPr>
        <w:t>:</w:t>
      </w:r>
    </w:p>
    <w:p w14:paraId="675F6C52" w14:textId="70CBFDDD" w:rsidR="00CA5CF8" w:rsidRPr="00CA5CF8" w:rsidRDefault="00CA5CF8" w:rsidP="00CA5CF8">
      <w:pPr>
        <w:pStyle w:val="NormalWeb"/>
        <w:ind w:left="360"/>
        <w:jc w:val="both"/>
        <w:rPr>
          <w:rFonts w:asciiTheme="majorHAnsi" w:hAnsiTheme="majorHAnsi" w:cstheme="majorHAnsi"/>
        </w:rPr>
      </w:pPr>
      <w:r w:rsidRPr="00CA5CF8">
        <w:rPr>
          <w:rFonts w:asciiTheme="majorHAnsi" w:hAnsiTheme="majorHAnsi" w:cstheme="majorHAnsi"/>
        </w:rPr>
        <w:lastRenderedPageBreak/>
        <w:t>Es el “centro de reflexión sobre uno mismo”. Se activa cuando pensamos en nuestras características, virtudes o defectos. Una actividad equilibrada en esta zona permite una autoevaluación realista; su disfunción puede generar autocrítica excesiva o una autoimagen distorsionada, frecuente en la depresión y los trastornos de ansiedad social.</w:t>
      </w:r>
    </w:p>
    <w:p w14:paraId="52CB7CD9" w14:textId="77777777" w:rsidR="00CA5CF8" w:rsidRPr="00CA5CF8" w:rsidRDefault="00CA5CF8" w:rsidP="00CA5CF8">
      <w:pPr>
        <w:pStyle w:val="NormalWeb"/>
        <w:jc w:val="both"/>
        <w:rPr>
          <w:rFonts w:asciiTheme="majorHAnsi" w:hAnsiTheme="majorHAnsi" w:cstheme="majorHAnsi"/>
        </w:rPr>
      </w:pPr>
      <w:r w:rsidRPr="00CA5CF8">
        <w:rPr>
          <w:rFonts w:ascii="Apple Color Emoji" w:hAnsi="Apple Color Emoji" w:cs="Apple Color Emoji"/>
        </w:rPr>
        <w:t>👉</w:t>
      </w:r>
      <w:r w:rsidRPr="00CA5CF8">
        <w:rPr>
          <w:rFonts w:asciiTheme="majorHAnsi" w:hAnsiTheme="majorHAnsi" w:cstheme="majorHAnsi"/>
        </w:rPr>
        <w:t xml:space="preserve"> </w:t>
      </w:r>
      <w:r w:rsidRPr="00CA5CF8">
        <w:rPr>
          <w:rFonts w:asciiTheme="majorHAnsi" w:hAnsiTheme="majorHAnsi" w:cstheme="majorHAnsi"/>
          <w:i/>
          <w:iCs/>
        </w:rPr>
        <w:t>Ejemplo clínico:</w:t>
      </w:r>
      <w:r w:rsidRPr="00CA5CF8">
        <w:rPr>
          <w:rFonts w:asciiTheme="majorHAnsi" w:hAnsiTheme="majorHAnsi" w:cstheme="majorHAnsi"/>
        </w:rPr>
        <w:t xml:space="preserve"> pacientes con depresión muestran una hiperactividad en la zona medial prefrontal cuando procesan pensamientos negativos sobre sí mismos. Esto significa que el cerebro literalmente trabaja “de más” para sostener la autocrítica.</w:t>
      </w:r>
    </w:p>
    <w:p w14:paraId="133AB5D1" w14:textId="77777777" w:rsidR="00CA5CF8" w:rsidRDefault="00CA5CF8" w:rsidP="00CA5CF8">
      <w:pPr>
        <w:pStyle w:val="NormalWeb"/>
        <w:numPr>
          <w:ilvl w:val="0"/>
          <w:numId w:val="27"/>
        </w:numPr>
        <w:jc w:val="both"/>
        <w:rPr>
          <w:rFonts w:asciiTheme="majorHAnsi" w:hAnsiTheme="majorHAnsi" w:cstheme="majorHAnsi"/>
        </w:rPr>
      </w:pPr>
      <w:r w:rsidRPr="00CA5CF8">
        <w:rPr>
          <w:rFonts w:asciiTheme="majorHAnsi" w:hAnsiTheme="majorHAnsi" w:cstheme="majorHAnsi"/>
          <w:b/>
          <w:bCs/>
        </w:rPr>
        <w:t>Corteza cingulada anterior</w:t>
      </w:r>
      <w:r w:rsidRPr="00CA5CF8">
        <w:rPr>
          <w:rFonts w:asciiTheme="majorHAnsi" w:hAnsiTheme="majorHAnsi" w:cstheme="majorHAnsi"/>
        </w:rPr>
        <w:t>:</w:t>
      </w:r>
    </w:p>
    <w:p w14:paraId="638182B9" w14:textId="4E5DBBE9" w:rsidR="00CA5CF8" w:rsidRPr="00CA5CF8" w:rsidRDefault="00CA5CF8" w:rsidP="00CA5CF8">
      <w:pPr>
        <w:pStyle w:val="NormalWeb"/>
        <w:ind w:left="360"/>
        <w:jc w:val="both"/>
        <w:rPr>
          <w:rFonts w:asciiTheme="majorHAnsi" w:hAnsiTheme="majorHAnsi" w:cstheme="majorHAnsi"/>
        </w:rPr>
      </w:pPr>
      <w:r w:rsidRPr="00CA5CF8">
        <w:rPr>
          <w:rFonts w:asciiTheme="majorHAnsi" w:hAnsiTheme="majorHAnsi" w:cstheme="majorHAnsi"/>
        </w:rPr>
        <w:t>Regula la conexión entre emoción y pensamiento. Nos ayuda a integrar lo que sentimos con lo que pensamos sobre nosotros. Cuando esta área funciona bien, somos capaces de reconocer nuestros errores sin colapsar emocionalmente. En cambio, cuando su funcionamiento se altera, pueden aparecer sentimientos intensos de culpa o vergüenza, incluso sin razones objetivas.</w:t>
      </w:r>
    </w:p>
    <w:p w14:paraId="765B88A3" w14:textId="77777777" w:rsidR="00CA5CF8" w:rsidRDefault="00CA5CF8" w:rsidP="00CA5CF8">
      <w:pPr>
        <w:pStyle w:val="NormalWeb"/>
        <w:numPr>
          <w:ilvl w:val="0"/>
          <w:numId w:val="27"/>
        </w:numPr>
        <w:jc w:val="both"/>
        <w:rPr>
          <w:rFonts w:asciiTheme="majorHAnsi" w:hAnsiTheme="majorHAnsi" w:cstheme="majorHAnsi"/>
        </w:rPr>
      </w:pPr>
      <w:r w:rsidRPr="00CA5CF8">
        <w:rPr>
          <w:rFonts w:asciiTheme="majorHAnsi" w:hAnsiTheme="majorHAnsi" w:cstheme="majorHAnsi"/>
          <w:b/>
          <w:bCs/>
        </w:rPr>
        <w:t>Amígdala y sistema límbico</w:t>
      </w:r>
      <w:r w:rsidRPr="00CA5CF8">
        <w:rPr>
          <w:rFonts w:asciiTheme="majorHAnsi" w:hAnsiTheme="majorHAnsi" w:cstheme="majorHAnsi"/>
        </w:rPr>
        <w:t>:</w:t>
      </w:r>
    </w:p>
    <w:p w14:paraId="7A80D0A4" w14:textId="796016E7" w:rsidR="00CA5CF8" w:rsidRPr="00CA5CF8" w:rsidRDefault="00CA5CF8" w:rsidP="00CA5CF8">
      <w:pPr>
        <w:pStyle w:val="NormalWeb"/>
        <w:ind w:left="360"/>
        <w:jc w:val="both"/>
        <w:rPr>
          <w:rFonts w:asciiTheme="majorHAnsi" w:hAnsiTheme="majorHAnsi" w:cstheme="majorHAnsi"/>
        </w:rPr>
      </w:pPr>
      <w:r w:rsidRPr="00CA5CF8">
        <w:rPr>
          <w:rFonts w:asciiTheme="majorHAnsi" w:hAnsiTheme="majorHAnsi" w:cstheme="majorHAnsi"/>
        </w:rPr>
        <w:t xml:space="preserve">La amígdala es el centro del miedo y la amenaza. Cuando la autoestima es frágil, esta estructura tiende a </w:t>
      </w:r>
      <w:proofErr w:type="spellStart"/>
      <w:r w:rsidRPr="00CA5CF8">
        <w:rPr>
          <w:rFonts w:asciiTheme="majorHAnsi" w:hAnsiTheme="majorHAnsi" w:cstheme="majorHAnsi"/>
        </w:rPr>
        <w:t>sobreactivarse</w:t>
      </w:r>
      <w:proofErr w:type="spellEnd"/>
      <w:r w:rsidRPr="00CA5CF8">
        <w:rPr>
          <w:rFonts w:asciiTheme="majorHAnsi" w:hAnsiTheme="majorHAnsi" w:cstheme="majorHAnsi"/>
        </w:rPr>
        <w:t>, generando ansiedad, hipervigilancia y una percepción de rechazo constante. Es el mismo circuito que se activa en los trastornos de pánico o en el estrés postraumático.</w:t>
      </w:r>
    </w:p>
    <w:p w14:paraId="3AD110D3" w14:textId="77777777" w:rsidR="00CA5CF8" w:rsidRPr="00CA5CF8" w:rsidRDefault="00CA5CF8" w:rsidP="00CA5CF8">
      <w:pPr>
        <w:pStyle w:val="NormalWeb"/>
        <w:jc w:val="both"/>
        <w:rPr>
          <w:rFonts w:asciiTheme="majorHAnsi" w:hAnsiTheme="majorHAnsi" w:cstheme="majorHAnsi"/>
        </w:rPr>
      </w:pPr>
      <w:r w:rsidRPr="00CA5CF8">
        <w:rPr>
          <w:rFonts w:ascii="Apple Color Emoji" w:hAnsi="Apple Color Emoji" w:cs="Apple Color Emoji"/>
        </w:rPr>
        <w:t>👉</w:t>
      </w:r>
      <w:r w:rsidRPr="00CA5CF8">
        <w:rPr>
          <w:rFonts w:asciiTheme="majorHAnsi" w:hAnsiTheme="majorHAnsi" w:cstheme="majorHAnsi"/>
        </w:rPr>
        <w:t xml:space="preserve"> </w:t>
      </w:r>
      <w:r w:rsidRPr="00CA5CF8">
        <w:rPr>
          <w:rFonts w:asciiTheme="majorHAnsi" w:hAnsiTheme="majorHAnsi" w:cstheme="majorHAnsi"/>
          <w:i/>
          <w:iCs/>
        </w:rPr>
        <w:t>Ejemplo:</w:t>
      </w:r>
      <w:r w:rsidRPr="00CA5CF8">
        <w:rPr>
          <w:rFonts w:asciiTheme="majorHAnsi" w:hAnsiTheme="majorHAnsi" w:cstheme="majorHAnsi"/>
        </w:rPr>
        <w:t xml:space="preserve"> una persona con baja autoestima puede interpretar una mirada neutra como desaprobación, no porque su juicio sea irracional, sino porque su amígdala está “entrenada” para detectar peligro en lo social.</w:t>
      </w:r>
    </w:p>
    <w:p w14:paraId="508BFBCE" w14:textId="6AC39934" w:rsidR="00CA5CF8" w:rsidRDefault="00CA5CF8" w:rsidP="00CA5CF8">
      <w:pPr>
        <w:pStyle w:val="NormalWeb"/>
        <w:numPr>
          <w:ilvl w:val="0"/>
          <w:numId w:val="27"/>
        </w:numPr>
        <w:jc w:val="both"/>
        <w:rPr>
          <w:rFonts w:asciiTheme="majorHAnsi" w:hAnsiTheme="majorHAnsi" w:cstheme="majorHAnsi"/>
        </w:rPr>
      </w:pPr>
      <w:r w:rsidRPr="00CA5CF8">
        <w:rPr>
          <w:rFonts w:asciiTheme="majorHAnsi" w:hAnsiTheme="majorHAnsi" w:cstheme="majorHAnsi"/>
          <w:b/>
          <w:bCs/>
        </w:rPr>
        <w:t>Hipocampo</w:t>
      </w:r>
      <w:r w:rsidRPr="00CA5CF8">
        <w:rPr>
          <w:rFonts w:asciiTheme="majorHAnsi" w:hAnsiTheme="majorHAnsi" w:cstheme="majorHAnsi"/>
        </w:rPr>
        <w:t>:</w:t>
      </w:r>
      <w:r w:rsidRPr="00CA5CF8">
        <w:rPr>
          <w:rFonts w:asciiTheme="majorHAnsi" w:hAnsiTheme="majorHAnsi" w:cstheme="majorHAnsi"/>
        </w:rPr>
        <w:br/>
        <w:t>Se encarga de almacenar recuerdos y darles significado. Una autoestima sana se asocia con un hipocampo capaz de integrar recuerdos positivos y negativos sin distorsionarlos. En cambio, una baja autoestima suele ir de la mano con un sesgo de memoria: se recuerdan con más intensidad los fracasos y se olvidan los logros. Este patrón también aparece en la depresión mayor.</w:t>
      </w:r>
    </w:p>
    <w:p w14:paraId="68991DCA" w14:textId="77777777" w:rsidR="00CA5CF8" w:rsidRPr="00CA5CF8" w:rsidRDefault="00CA5CF8" w:rsidP="00CA5CF8">
      <w:pPr>
        <w:pStyle w:val="NormalWeb"/>
        <w:ind w:left="360"/>
        <w:jc w:val="both"/>
        <w:rPr>
          <w:rFonts w:asciiTheme="majorHAnsi" w:hAnsiTheme="majorHAnsi" w:cstheme="majorHAnsi"/>
        </w:rPr>
      </w:pPr>
    </w:p>
    <w:p w14:paraId="7CA55895" w14:textId="77777777" w:rsidR="00CA5CF8" w:rsidRDefault="00CA5CF8" w:rsidP="00CA5CF8">
      <w:pPr>
        <w:pStyle w:val="NormalWeb"/>
        <w:numPr>
          <w:ilvl w:val="0"/>
          <w:numId w:val="27"/>
        </w:numPr>
        <w:jc w:val="both"/>
        <w:rPr>
          <w:rFonts w:asciiTheme="majorHAnsi" w:hAnsiTheme="majorHAnsi" w:cstheme="majorHAnsi"/>
        </w:rPr>
      </w:pPr>
      <w:r w:rsidRPr="00CA5CF8">
        <w:rPr>
          <w:rFonts w:asciiTheme="majorHAnsi" w:hAnsiTheme="majorHAnsi" w:cstheme="majorHAnsi"/>
          <w:b/>
          <w:bCs/>
        </w:rPr>
        <w:t>Núcleo accumbens y sistema dopaminérgico</w:t>
      </w:r>
      <w:r w:rsidRPr="00CA5CF8">
        <w:rPr>
          <w:rFonts w:asciiTheme="majorHAnsi" w:hAnsiTheme="majorHAnsi" w:cstheme="majorHAnsi"/>
        </w:rPr>
        <w:t>:</w:t>
      </w:r>
    </w:p>
    <w:p w14:paraId="0A15A692" w14:textId="4E873B29" w:rsidR="00CA5CF8" w:rsidRDefault="00CA5CF8" w:rsidP="00CA5CF8">
      <w:pPr>
        <w:pStyle w:val="NormalWeb"/>
        <w:ind w:left="360"/>
        <w:jc w:val="both"/>
        <w:rPr>
          <w:rFonts w:asciiTheme="majorHAnsi" w:hAnsiTheme="majorHAnsi" w:cstheme="majorHAnsi"/>
        </w:rPr>
      </w:pPr>
      <w:r w:rsidRPr="00CA5CF8">
        <w:rPr>
          <w:rFonts w:asciiTheme="majorHAnsi" w:hAnsiTheme="majorHAnsi" w:cstheme="majorHAnsi"/>
        </w:rPr>
        <w:t xml:space="preserve">Este es el centro del placer, la motivación y la recompensa. Cuando logramos algo y nos sentimos orgullosos, aquí se libera dopamina. Una autoestima sólida refuerza este circuito: cada logro aumenta la motivación para seguir intentando. Pero si el sistema dopaminérgico se ve alterado —como ocurre en la depresión o en los trastornos </w:t>
      </w:r>
      <w:r w:rsidRPr="00CA5CF8">
        <w:rPr>
          <w:rFonts w:asciiTheme="majorHAnsi" w:hAnsiTheme="majorHAnsi" w:cstheme="majorHAnsi"/>
        </w:rPr>
        <w:lastRenderedPageBreak/>
        <w:t>adictivos—, la capacidad de sentir satisfacción disminuye, y con ello, también la valoración personal.</w:t>
      </w:r>
    </w:p>
    <w:p w14:paraId="2E8FDDA8" w14:textId="08659515" w:rsidR="00CA5CF8" w:rsidRPr="00CA5CF8" w:rsidRDefault="00CA5CF8" w:rsidP="00CA5CF8">
      <w:pPr>
        <w:pStyle w:val="NormalWeb"/>
        <w:ind w:left="360"/>
        <w:jc w:val="center"/>
        <w:rPr>
          <w:rFonts w:asciiTheme="majorHAnsi" w:hAnsiTheme="majorHAnsi" w:cstheme="majorHAnsi"/>
        </w:rPr>
      </w:pPr>
      <w:r>
        <w:fldChar w:fldCharType="begin"/>
      </w:r>
      <w:r>
        <w:instrText xml:space="preserve"> INCLUDEPICTURE "https://sdmntprcentralus.oaiusercontent.com/files/00000000-50b0-61f5-9a5e-0afa5f323fe3/raw?se=2025-10-05T04%3A30%3A15Z&amp;sp=r&amp;sv=2024-08-04&amp;sr=b&amp;scid=e15ee546-b17f-528d-9a43-e2a5b74ba49f&amp;skoid=77636ecc-ad8d-44df-baa7-163b524a0261&amp;sktid=a48cca56-e6da-484e-a814-9c849652bcb3&amp;skt=2025-10-04T10%3A11%3A23Z&amp;ske=2025-10-05T10%3A11%3A23Z&amp;sks=b&amp;skv=2024-08-04&amp;sig=FXYvt9EV8M7cI8jvPO0zSGk5npAQVNpXhKW7fyNu8/k%3D" \* MERGEFORMATINET </w:instrText>
      </w:r>
      <w:r>
        <w:fldChar w:fldCharType="separate"/>
      </w:r>
      <w:r>
        <w:rPr>
          <w:noProof/>
        </w:rPr>
        <w:drawing>
          <wp:inline distT="0" distB="0" distL="0" distR="0" wp14:anchorId="162C55C3" wp14:editId="6033BA52">
            <wp:extent cx="3302000" cy="3302000"/>
            <wp:effectExtent l="0" t="0" r="0" b="0"/>
            <wp:docPr id="1623575338" name="Imagen 2" descr="Imagen gener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magen generad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02000" cy="3302000"/>
                    </a:xfrm>
                    <a:prstGeom prst="rect">
                      <a:avLst/>
                    </a:prstGeom>
                    <a:noFill/>
                    <a:ln>
                      <a:noFill/>
                    </a:ln>
                  </pic:spPr>
                </pic:pic>
              </a:graphicData>
            </a:graphic>
          </wp:inline>
        </w:drawing>
      </w:r>
      <w:r>
        <w:fldChar w:fldCharType="end"/>
      </w:r>
    </w:p>
    <w:p w14:paraId="5A833020" w14:textId="77777777" w:rsidR="00CA5CF8" w:rsidRPr="00CA5CF8" w:rsidRDefault="00CA5CF8" w:rsidP="00CA5CF8">
      <w:pPr>
        <w:pStyle w:val="NormalWeb"/>
        <w:jc w:val="both"/>
        <w:rPr>
          <w:rFonts w:asciiTheme="majorHAnsi" w:hAnsiTheme="majorHAnsi" w:cstheme="majorHAnsi"/>
          <w:b/>
          <w:bCs/>
        </w:rPr>
      </w:pPr>
      <w:r w:rsidRPr="00CA5CF8">
        <w:rPr>
          <w:rFonts w:asciiTheme="majorHAnsi" w:hAnsiTheme="majorHAnsi" w:cstheme="majorHAnsi"/>
          <w:b/>
          <w:bCs/>
        </w:rPr>
        <w:t>La parte hormonal y los neurotransmisores del bienestar</w:t>
      </w:r>
    </w:p>
    <w:p w14:paraId="75DA1204" w14:textId="77777777" w:rsidR="00CA5CF8" w:rsidRPr="00CA5CF8" w:rsidRDefault="00CA5CF8" w:rsidP="00CA5CF8">
      <w:pPr>
        <w:pStyle w:val="NormalWeb"/>
        <w:jc w:val="both"/>
        <w:rPr>
          <w:rFonts w:asciiTheme="majorHAnsi" w:hAnsiTheme="majorHAnsi" w:cstheme="majorHAnsi"/>
        </w:rPr>
      </w:pPr>
      <w:r w:rsidRPr="00CA5CF8">
        <w:rPr>
          <w:rFonts w:asciiTheme="majorHAnsi" w:hAnsiTheme="majorHAnsi" w:cstheme="majorHAnsi"/>
        </w:rPr>
        <w:t xml:space="preserve">La autoestima está profundamente conectada con la química cerebral. Cada emoción y pensamiento está mediado por </w:t>
      </w:r>
      <w:r w:rsidRPr="00CA5CF8">
        <w:rPr>
          <w:rFonts w:asciiTheme="majorHAnsi" w:hAnsiTheme="majorHAnsi" w:cstheme="majorHAnsi"/>
          <w:b/>
          <w:bCs/>
        </w:rPr>
        <w:t>neurotransmisores</w:t>
      </w:r>
      <w:r w:rsidRPr="00CA5CF8">
        <w:rPr>
          <w:rFonts w:asciiTheme="majorHAnsi" w:hAnsiTheme="majorHAnsi" w:cstheme="majorHAnsi"/>
        </w:rPr>
        <w:t xml:space="preserve"> y </w:t>
      </w:r>
      <w:r w:rsidRPr="00CA5CF8">
        <w:rPr>
          <w:rFonts w:asciiTheme="majorHAnsi" w:hAnsiTheme="majorHAnsi" w:cstheme="majorHAnsi"/>
          <w:b/>
          <w:bCs/>
        </w:rPr>
        <w:t>hormonas</w:t>
      </w:r>
      <w:r w:rsidRPr="00CA5CF8">
        <w:rPr>
          <w:rFonts w:asciiTheme="majorHAnsi" w:hAnsiTheme="majorHAnsi" w:cstheme="majorHAnsi"/>
        </w:rPr>
        <w:t xml:space="preserve"> que influyen en nuestro estado interno.</w:t>
      </w:r>
    </w:p>
    <w:p w14:paraId="49F20DDA" w14:textId="77777777" w:rsidR="00CA5CF8" w:rsidRPr="00CA5CF8" w:rsidRDefault="00CA5CF8" w:rsidP="00CA5CF8">
      <w:pPr>
        <w:pStyle w:val="NormalWeb"/>
        <w:numPr>
          <w:ilvl w:val="0"/>
          <w:numId w:val="28"/>
        </w:numPr>
        <w:jc w:val="both"/>
        <w:rPr>
          <w:rFonts w:asciiTheme="majorHAnsi" w:hAnsiTheme="majorHAnsi" w:cstheme="majorHAnsi"/>
        </w:rPr>
      </w:pPr>
      <w:r w:rsidRPr="00CA5CF8">
        <w:rPr>
          <w:rFonts w:asciiTheme="majorHAnsi" w:hAnsiTheme="majorHAnsi" w:cstheme="majorHAnsi"/>
          <w:b/>
          <w:bCs/>
        </w:rPr>
        <w:t>Serotonina</w:t>
      </w:r>
      <w:r w:rsidRPr="00CA5CF8">
        <w:rPr>
          <w:rFonts w:asciiTheme="majorHAnsi" w:hAnsiTheme="majorHAnsi" w:cstheme="majorHAnsi"/>
        </w:rPr>
        <w:br/>
        <w:t>Es el “modulador del bienestar”. Niveles adecuados favorecen la estabilidad emocional y la sensación de satisfacción. Una deficiencia en serotonina se relaciona con depresión, irritabilidad y autocrítica persistente. No es casual que los tratamientos antidepresivos actúen sobre este sistema.</w:t>
      </w:r>
    </w:p>
    <w:p w14:paraId="660A3B56" w14:textId="77777777" w:rsidR="00CA5CF8" w:rsidRPr="00CA5CF8" w:rsidRDefault="00CA5CF8" w:rsidP="00CA5CF8">
      <w:pPr>
        <w:pStyle w:val="NormalWeb"/>
        <w:numPr>
          <w:ilvl w:val="0"/>
          <w:numId w:val="28"/>
        </w:numPr>
        <w:jc w:val="both"/>
        <w:rPr>
          <w:rFonts w:asciiTheme="majorHAnsi" w:hAnsiTheme="majorHAnsi" w:cstheme="majorHAnsi"/>
        </w:rPr>
      </w:pPr>
      <w:r w:rsidRPr="00CA5CF8">
        <w:rPr>
          <w:rFonts w:asciiTheme="majorHAnsi" w:hAnsiTheme="majorHAnsi" w:cstheme="majorHAnsi"/>
          <w:b/>
          <w:bCs/>
        </w:rPr>
        <w:t>Dopamina</w:t>
      </w:r>
      <w:r w:rsidRPr="00CA5CF8">
        <w:rPr>
          <w:rFonts w:asciiTheme="majorHAnsi" w:hAnsiTheme="majorHAnsi" w:cstheme="majorHAnsi"/>
        </w:rPr>
        <w:br/>
        <w:t>Asociada al placer y la motivación, la dopamina refuerza el sentido de logro. Cada vez que cumplimos un objetivo, este neurotransmisor genera una sensación de gratificación. Si el sistema dopaminérgico está desregulado, el cerebro deja de asociar el esfuerzo con la recompensa, apareciendo la apatía y la desmotivación.</w:t>
      </w:r>
    </w:p>
    <w:p w14:paraId="31933599" w14:textId="77777777" w:rsidR="00CA5CF8" w:rsidRPr="00CA5CF8" w:rsidRDefault="00CA5CF8" w:rsidP="00CA5CF8">
      <w:pPr>
        <w:pStyle w:val="NormalWeb"/>
        <w:numPr>
          <w:ilvl w:val="0"/>
          <w:numId w:val="28"/>
        </w:numPr>
        <w:jc w:val="both"/>
        <w:rPr>
          <w:rFonts w:asciiTheme="majorHAnsi" w:hAnsiTheme="majorHAnsi" w:cstheme="majorHAnsi"/>
        </w:rPr>
      </w:pPr>
      <w:r w:rsidRPr="00CA5CF8">
        <w:rPr>
          <w:rFonts w:asciiTheme="majorHAnsi" w:hAnsiTheme="majorHAnsi" w:cstheme="majorHAnsi"/>
          <w:b/>
          <w:bCs/>
        </w:rPr>
        <w:t>Oxitocina</w:t>
      </w:r>
      <w:r w:rsidRPr="00CA5CF8">
        <w:rPr>
          <w:rFonts w:asciiTheme="majorHAnsi" w:hAnsiTheme="majorHAnsi" w:cstheme="majorHAnsi"/>
        </w:rPr>
        <w:br/>
        <w:t>Conocida como la “hormona del vínculo”, refuerza las experiencias de confianza y cercanía. Una autoestima saludable está ligada a relaciones seguras y vínculos positivos, donde la oxitocina actúa como mediador biológico de la conexión emocional.</w:t>
      </w:r>
    </w:p>
    <w:p w14:paraId="777C02E0" w14:textId="77777777" w:rsidR="00CA5CF8" w:rsidRPr="00CA5CF8" w:rsidRDefault="00CA5CF8" w:rsidP="00CA5CF8">
      <w:pPr>
        <w:pStyle w:val="NormalWeb"/>
        <w:numPr>
          <w:ilvl w:val="0"/>
          <w:numId w:val="28"/>
        </w:numPr>
        <w:jc w:val="both"/>
        <w:rPr>
          <w:rFonts w:asciiTheme="majorHAnsi" w:hAnsiTheme="majorHAnsi" w:cstheme="majorHAnsi"/>
        </w:rPr>
      </w:pPr>
      <w:r w:rsidRPr="00CA5CF8">
        <w:rPr>
          <w:rFonts w:asciiTheme="majorHAnsi" w:hAnsiTheme="majorHAnsi" w:cstheme="majorHAnsi"/>
          <w:b/>
          <w:bCs/>
        </w:rPr>
        <w:lastRenderedPageBreak/>
        <w:t>Cortisol</w:t>
      </w:r>
      <w:r w:rsidRPr="00CA5CF8">
        <w:rPr>
          <w:rFonts w:asciiTheme="majorHAnsi" w:hAnsiTheme="majorHAnsi" w:cstheme="majorHAnsi"/>
        </w:rPr>
        <w:br/>
        <w:t xml:space="preserve">Es la hormona del estrés. Cuando una persona vive con miedo constante al juicio o al fracaso, el cortisol se mantiene elevado. Esta </w:t>
      </w:r>
      <w:proofErr w:type="spellStart"/>
      <w:r w:rsidRPr="00CA5CF8">
        <w:rPr>
          <w:rFonts w:asciiTheme="majorHAnsi" w:hAnsiTheme="majorHAnsi" w:cstheme="majorHAnsi"/>
        </w:rPr>
        <w:t>sobreactivación</w:t>
      </w:r>
      <w:proofErr w:type="spellEnd"/>
      <w:r w:rsidRPr="00CA5CF8">
        <w:rPr>
          <w:rFonts w:asciiTheme="majorHAnsi" w:hAnsiTheme="majorHAnsi" w:cstheme="majorHAnsi"/>
        </w:rPr>
        <w:t xml:space="preserve"> deteriora la memoria, el sueño y la regulación emocional, perpetuando el círculo de ansiedad y baja autoestima.</w:t>
      </w:r>
    </w:p>
    <w:p w14:paraId="6B873279" w14:textId="77777777" w:rsidR="00CA5CF8" w:rsidRPr="00CA5CF8" w:rsidRDefault="00CA5CF8" w:rsidP="00CA5CF8">
      <w:pPr>
        <w:pStyle w:val="NormalWeb"/>
        <w:numPr>
          <w:ilvl w:val="0"/>
          <w:numId w:val="28"/>
        </w:numPr>
        <w:jc w:val="both"/>
        <w:rPr>
          <w:rFonts w:asciiTheme="majorHAnsi" w:hAnsiTheme="majorHAnsi" w:cstheme="majorHAnsi"/>
        </w:rPr>
      </w:pPr>
      <w:r w:rsidRPr="00CA5CF8">
        <w:rPr>
          <w:rFonts w:asciiTheme="majorHAnsi" w:hAnsiTheme="majorHAnsi" w:cstheme="majorHAnsi"/>
          <w:b/>
          <w:bCs/>
        </w:rPr>
        <w:t>Endorfinas</w:t>
      </w:r>
      <w:r w:rsidRPr="00CA5CF8">
        <w:rPr>
          <w:rFonts w:asciiTheme="majorHAnsi" w:hAnsiTheme="majorHAnsi" w:cstheme="majorHAnsi"/>
        </w:rPr>
        <w:br/>
        <w:t>Se liberan ante experiencias de bienestar, risa, afecto o actividad física. Favorecen el equilibrio emocional y reducen la percepción del dolor físico y emocional.</w:t>
      </w:r>
    </w:p>
    <w:p w14:paraId="1F2296C8" w14:textId="77777777" w:rsidR="00CA5CF8" w:rsidRPr="00CA5CF8" w:rsidRDefault="00CA5CF8" w:rsidP="00CA5CF8">
      <w:pPr>
        <w:pStyle w:val="NormalWeb"/>
        <w:jc w:val="both"/>
        <w:rPr>
          <w:rFonts w:asciiTheme="majorHAnsi" w:hAnsiTheme="majorHAnsi" w:cstheme="majorHAnsi"/>
          <w:b/>
          <w:bCs/>
        </w:rPr>
      </w:pPr>
      <w:r w:rsidRPr="00CA5CF8">
        <w:rPr>
          <w:rFonts w:asciiTheme="majorHAnsi" w:hAnsiTheme="majorHAnsi" w:cstheme="majorHAnsi"/>
          <w:b/>
          <w:bCs/>
        </w:rPr>
        <w:t>Cuando los circuitos se desajustan</w:t>
      </w:r>
    </w:p>
    <w:p w14:paraId="47B04943" w14:textId="77777777" w:rsidR="00CA5CF8" w:rsidRDefault="00CA5CF8" w:rsidP="00CA5CF8">
      <w:pPr>
        <w:pStyle w:val="NormalWeb"/>
        <w:jc w:val="both"/>
        <w:rPr>
          <w:rFonts w:asciiTheme="majorHAnsi" w:hAnsiTheme="majorHAnsi" w:cstheme="majorHAnsi"/>
        </w:rPr>
      </w:pPr>
      <w:r w:rsidRPr="00CA5CF8">
        <w:rPr>
          <w:rFonts w:asciiTheme="majorHAnsi" w:hAnsiTheme="majorHAnsi" w:cstheme="majorHAnsi"/>
        </w:rPr>
        <w:t>Todas estas áreas y sistemas trabajan en conjunto. Si se desequilibran, la autopercepción puede volverse vulnerable.</w:t>
      </w:r>
    </w:p>
    <w:p w14:paraId="0CFF4170" w14:textId="34F575AD" w:rsidR="00CA5CF8" w:rsidRPr="00CA5CF8" w:rsidRDefault="00CA5CF8" w:rsidP="00CA5CF8">
      <w:pPr>
        <w:pStyle w:val="NormalWeb"/>
        <w:jc w:val="both"/>
        <w:rPr>
          <w:rFonts w:asciiTheme="majorHAnsi" w:hAnsiTheme="majorHAnsi" w:cstheme="majorHAnsi"/>
        </w:rPr>
      </w:pPr>
      <w:r w:rsidRPr="00CA5CF8">
        <w:rPr>
          <w:rFonts w:asciiTheme="majorHAnsi" w:hAnsiTheme="majorHAnsi" w:cstheme="majorHAnsi"/>
        </w:rPr>
        <w:br/>
        <w:t xml:space="preserve">Por eso, en condiciones como la depresión, el trastorno de ansiedad generalizada o los trastornos de personalidad, se observa una combinación de </w:t>
      </w:r>
      <w:r w:rsidRPr="00CA5CF8">
        <w:rPr>
          <w:rFonts w:asciiTheme="majorHAnsi" w:hAnsiTheme="majorHAnsi" w:cstheme="majorHAnsi"/>
          <w:b/>
          <w:bCs/>
        </w:rPr>
        <w:t>hiperactividad de la amígdala</w:t>
      </w:r>
      <w:r w:rsidRPr="00CA5CF8">
        <w:rPr>
          <w:rFonts w:asciiTheme="majorHAnsi" w:hAnsiTheme="majorHAnsi" w:cstheme="majorHAnsi"/>
        </w:rPr>
        <w:t xml:space="preserve">, </w:t>
      </w:r>
      <w:r w:rsidRPr="00CA5CF8">
        <w:rPr>
          <w:rFonts w:asciiTheme="majorHAnsi" w:hAnsiTheme="majorHAnsi" w:cstheme="majorHAnsi"/>
          <w:b/>
          <w:bCs/>
        </w:rPr>
        <w:t>hipoactividad de la corteza prefrontal</w:t>
      </w:r>
      <w:r w:rsidRPr="00CA5CF8">
        <w:rPr>
          <w:rFonts w:asciiTheme="majorHAnsi" w:hAnsiTheme="majorHAnsi" w:cstheme="majorHAnsi"/>
        </w:rPr>
        <w:t xml:space="preserve"> y </w:t>
      </w:r>
      <w:r w:rsidRPr="00CA5CF8">
        <w:rPr>
          <w:rFonts w:asciiTheme="majorHAnsi" w:hAnsiTheme="majorHAnsi" w:cstheme="majorHAnsi"/>
          <w:b/>
          <w:bCs/>
        </w:rPr>
        <w:t>alteraciones en la liberación de serotonina y dopamina</w:t>
      </w:r>
      <w:r w:rsidRPr="00CA5CF8">
        <w:rPr>
          <w:rFonts w:asciiTheme="majorHAnsi" w:hAnsiTheme="majorHAnsi" w:cstheme="majorHAnsi"/>
        </w:rPr>
        <w:t>.</w:t>
      </w:r>
    </w:p>
    <w:p w14:paraId="377E23CE" w14:textId="77777777" w:rsidR="00CA5CF8" w:rsidRPr="00CA5CF8" w:rsidRDefault="00CA5CF8" w:rsidP="00CA5CF8">
      <w:pPr>
        <w:pStyle w:val="NormalWeb"/>
        <w:jc w:val="both"/>
        <w:rPr>
          <w:rFonts w:asciiTheme="majorHAnsi" w:hAnsiTheme="majorHAnsi" w:cstheme="majorHAnsi"/>
        </w:rPr>
      </w:pPr>
      <w:r w:rsidRPr="00CA5CF8">
        <w:rPr>
          <w:rFonts w:asciiTheme="majorHAnsi" w:hAnsiTheme="majorHAnsi" w:cstheme="majorHAnsi"/>
        </w:rPr>
        <w:t>Este desequilibrio crea una especie de “eco cerebral” en el que las emociones negativas se amplifican, los pensamientos se vuelven más rígidos y la autovaloración se distorsiona.</w:t>
      </w:r>
    </w:p>
    <w:p w14:paraId="7D305F90" w14:textId="77777777" w:rsidR="00CA5CF8" w:rsidRPr="00CA5CF8" w:rsidRDefault="00CA5CF8" w:rsidP="00CA5CF8">
      <w:pPr>
        <w:pStyle w:val="NormalWeb"/>
        <w:jc w:val="both"/>
        <w:rPr>
          <w:rFonts w:asciiTheme="majorHAnsi" w:hAnsiTheme="majorHAnsi" w:cstheme="majorHAnsi"/>
        </w:rPr>
      </w:pPr>
      <w:r w:rsidRPr="00CA5CF8">
        <w:rPr>
          <w:rFonts w:asciiTheme="majorHAnsi" w:hAnsiTheme="majorHAnsi" w:cstheme="majorHAnsi"/>
        </w:rPr>
        <w:t xml:space="preserve">La buena noticia es que el cerebro es plástico. Con psicoterapia, hábitos saludables y, cuando es necesario, apoyo farmacológico, estos circuitos pueden reequilibrarse. En otras palabras, </w:t>
      </w:r>
      <w:r w:rsidRPr="00CA5CF8">
        <w:rPr>
          <w:rFonts w:asciiTheme="majorHAnsi" w:hAnsiTheme="majorHAnsi" w:cstheme="majorHAnsi"/>
          <w:b/>
          <w:bCs/>
        </w:rPr>
        <w:t>mejorar la autoestima no solo cambia la forma en que pensamos, sino que literalmente reorganiza el cerebro.</w:t>
      </w:r>
    </w:p>
    <w:p w14:paraId="467C0308" w14:textId="70444671" w:rsidR="00794F6E" w:rsidRPr="00180996" w:rsidRDefault="00794F6E" w:rsidP="00180996">
      <w:pPr>
        <w:pStyle w:val="Ttulo2"/>
      </w:pPr>
      <w:r w:rsidRPr="00180996">
        <w:rPr>
          <w:rStyle w:val="Textoennegrita"/>
          <w:b w:val="0"/>
          <w:bCs w:val="0"/>
          <w:color w:val="134163" w:themeColor="accent2" w:themeShade="80"/>
          <w:spacing w:val="15"/>
        </w:rPr>
        <w:t>¿En qué consiste una autoestima saludable?</w:t>
      </w:r>
    </w:p>
    <w:p w14:paraId="2A1C497E" w14:textId="77777777" w:rsidR="00180996" w:rsidRPr="00180996" w:rsidRDefault="00180996" w:rsidP="00180996">
      <w:pPr>
        <w:pStyle w:val="NormalWeb"/>
        <w:jc w:val="both"/>
        <w:rPr>
          <w:rFonts w:asciiTheme="majorHAnsi" w:hAnsiTheme="majorHAnsi" w:cstheme="majorHAnsi"/>
        </w:rPr>
      </w:pPr>
      <w:r w:rsidRPr="00180996">
        <w:rPr>
          <w:rFonts w:asciiTheme="majorHAnsi" w:hAnsiTheme="majorHAnsi" w:cstheme="majorHAnsi"/>
        </w:rPr>
        <w:t xml:space="preserve">Hablar de autoestima saludable no significa hablar de sentirse bien todo el tiempo o de tener una confianza inquebrantable. Significa, más bien, </w:t>
      </w:r>
      <w:r w:rsidRPr="00180996">
        <w:rPr>
          <w:rFonts w:asciiTheme="majorHAnsi" w:hAnsiTheme="majorHAnsi" w:cstheme="majorHAnsi"/>
          <w:b/>
          <w:bCs/>
        </w:rPr>
        <w:t>mantener una relación equilibrada, realista y compasiva con uno mismo</w:t>
      </w:r>
      <w:r w:rsidRPr="00180996">
        <w:rPr>
          <w:rFonts w:asciiTheme="majorHAnsi" w:hAnsiTheme="majorHAnsi" w:cstheme="majorHAnsi"/>
        </w:rPr>
        <w:t>, capaz de sostenernos tanto en los momentos de éxito como en los de dificultad.</w:t>
      </w:r>
    </w:p>
    <w:p w14:paraId="1A3C275D" w14:textId="77777777" w:rsidR="00180996" w:rsidRPr="00180996" w:rsidRDefault="00180996" w:rsidP="00180996">
      <w:pPr>
        <w:pStyle w:val="NormalWeb"/>
        <w:jc w:val="both"/>
        <w:rPr>
          <w:rFonts w:asciiTheme="majorHAnsi" w:hAnsiTheme="majorHAnsi" w:cstheme="majorHAnsi"/>
        </w:rPr>
      </w:pPr>
      <w:r w:rsidRPr="00180996">
        <w:rPr>
          <w:rFonts w:asciiTheme="majorHAnsi" w:hAnsiTheme="majorHAnsi" w:cstheme="majorHAnsi"/>
        </w:rPr>
        <w:t xml:space="preserve">Una autoestima sana es como un terreno firme: no se desmorona ante el error, pero tampoco se vuelve rígido ante los logros. Nos permite reconocernos vulnerables sin sentirnos inferiores, y valiosos sin creernos superiores. Es, en esencia, </w:t>
      </w:r>
      <w:r w:rsidRPr="00180996">
        <w:rPr>
          <w:rFonts w:asciiTheme="majorHAnsi" w:hAnsiTheme="majorHAnsi" w:cstheme="majorHAnsi"/>
          <w:b/>
          <w:bCs/>
        </w:rPr>
        <w:t>la capacidad de tratarnos con respeto, comprensión y coherencia</w:t>
      </w:r>
      <w:r w:rsidRPr="00180996">
        <w:rPr>
          <w:rFonts w:asciiTheme="majorHAnsi" w:hAnsiTheme="majorHAnsi" w:cstheme="majorHAnsi"/>
        </w:rPr>
        <w:t>.</w:t>
      </w:r>
    </w:p>
    <w:p w14:paraId="0648CBFE" w14:textId="77777777" w:rsidR="00180996" w:rsidRPr="00180996" w:rsidRDefault="00180996" w:rsidP="00180996">
      <w:pPr>
        <w:pStyle w:val="Ttulo3"/>
      </w:pPr>
      <w:r w:rsidRPr="00180996">
        <w:t>Características de una autoestima saludable</w:t>
      </w:r>
    </w:p>
    <w:p w14:paraId="31C69256" w14:textId="77777777" w:rsidR="00180996" w:rsidRPr="00180996" w:rsidRDefault="00180996" w:rsidP="00180996">
      <w:pPr>
        <w:pStyle w:val="Ttulo5"/>
      </w:pPr>
      <w:r w:rsidRPr="00180996">
        <w:t>1. Aceptación realista de uno mismo</w:t>
      </w:r>
    </w:p>
    <w:p w14:paraId="29E8B686" w14:textId="77777777" w:rsidR="00180996" w:rsidRPr="00180996" w:rsidRDefault="00180996" w:rsidP="00180996">
      <w:pPr>
        <w:pStyle w:val="NormalWeb"/>
        <w:jc w:val="both"/>
        <w:rPr>
          <w:rFonts w:asciiTheme="majorHAnsi" w:hAnsiTheme="majorHAnsi" w:cstheme="majorHAnsi"/>
        </w:rPr>
      </w:pPr>
      <w:r w:rsidRPr="00180996">
        <w:rPr>
          <w:rFonts w:asciiTheme="majorHAnsi" w:hAnsiTheme="majorHAnsi" w:cstheme="majorHAnsi"/>
        </w:rPr>
        <w:lastRenderedPageBreak/>
        <w:t>Quien tiene una autoestima saludable se conoce. Sabe cuáles son sus virtudes, pero también reconoce sus limitaciones sin que esto se convierta en motivo de vergüenza o culpa.</w:t>
      </w:r>
      <w:r w:rsidRPr="00180996">
        <w:rPr>
          <w:rFonts w:asciiTheme="majorHAnsi" w:hAnsiTheme="majorHAnsi" w:cstheme="majorHAnsi"/>
        </w:rPr>
        <w:br/>
        <w:t>Aceptar no es conformarse, sino reconocer la realidad para poder crecer desde ella.</w:t>
      </w:r>
    </w:p>
    <w:p w14:paraId="5FAEFEE1" w14:textId="77777777" w:rsidR="00180996" w:rsidRPr="00180996" w:rsidRDefault="00180996" w:rsidP="00180996">
      <w:pPr>
        <w:pStyle w:val="NormalWeb"/>
        <w:jc w:val="both"/>
        <w:rPr>
          <w:rFonts w:asciiTheme="majorHAnsi" w:hAnsiTheme="majorHAnsi" w:cstheme="majorHAnsi"/>
        </w:rPr>
      </w:pPr>
      <w:r w:rsidRPr="00180996">
        <w:rPr>
          <w:rFonts w:ascii="Apple Color Emoji" w:hAnsi="Apple Color Emoji" w:cs="Apple Color Emoji"/>
        </w:rPr>
        <w:t>👉</w:t>
      </w:r>
      <w:r w:rsidRPr="00180996">
        <w:rPr>
          <w:rFonts w:asciiTheme="majorHAnsi" w:hAnsiTheme="majorHAnsi" w:cstheme="majorHAnsi"/>
        </w:rPr>
        <w:t xml:space="preserve"> </w:t>
      </w:r>
      <w:r w:rsidRPr="00180996">
        <w:rPr>
          <w:rFonts w:asciiTheme="majorHAnsi" w:hAnsiTheme="majorHAnsi" w:cstheme="majorHAnsi"/>
          <w:i/>
          <w:iCs/>
        </w:rPr>
        <w:t>Ejemplo:</w:t>
      </w:r>
      <w:r w:rsidRPr="00180996">
        <w:rPr>
          <w:rFonts w:asciiTheme="majorHAnsi" w:hAnsiTheme="majorHAnsi" w:cstheme="majorHAnsi"/>
        </w:rPr>
        <w:t xml:space="preserve"> alguien con autoestima sana puede decir “no soy bueno hablando en público, pero puedo aprender” en lugar de “soy un desastre, mejor no lo intento”.</w:t>
      </w:r>
    </w:p>
    <w:p w14:paraId="5774F386" w14:textId="77777777" w:rsidR="00180996" w:rsidRPr="00180996" w:rsidRDefault="00180996" w:rsidP="00180996">
      <w:pPr>
        <w:pStyle w:val="NormalWeb"/>
        <w:jc w:val="both"/>
        <w:rPr>
          <w:rFonts w:asciiTheme="majorHAnsi" w:hAnsiTheme="majorHAnsi" w:cstheme="majorHAnsi"/>
        </w:rPr>
      </w:pPr>
      <w:r w:rsidRPr="00180996">
        <w:rPr>
          <w:rFonts w:asciiTheme="majorHAnsi" w:hAnsiTheme="majorHAnsi" w:cstheme="majorHAnsi"/>
        </w:rPr>
        <w:t xml:space="preserve">La aceptación implica </w:t>
      </w:r>
      <w:r w:rsidRPr="00180996">
        <w:rPr>
          <w:rFonts w:asciiTheme="majorHAnsi" w:hAnsiTheme="majorHAnsi" w:cstheme="majorHAnsi"/>
          <w:b/>
          <w:bCs/>
        </w:rPr>
        <w:t>honestidad emocional</w:t>
      </w:r>
      <w:r w:rsidRPr="00180996">
        <w:rPr>
          <w:rFonts w:asciiTheme="majorHAnsi" w:hAnsiTheme="majorHAnsi" w:cstheme="majorHAnsi"/>
        </w:rPr>
        <w:t>: dejar de pelear con quien somos y comenzar a trabajar con lo que tenemos.</w:t>
      </w:r>
    </w:p>
    <w:p w14:paraId="2BBE5D4C" w14:textId="77777777" w:rsidR="00180996" w:rsidRPr="00180996" w:rsidRDefault="00180996" w:rsidP="00180996">
      <w:pPr>
        <w:pStyle w:val="Ttulo5"/>
      </w:pPr>
      <w:r w:rsidRPr="00180996">
        <w:t>2. Diálogo interno constructivo</w:t>
      </w:r>
    </w:p>
    <w:p w14:paraId="410DED1F" w14:textId="77777777" w:rsidR="00180996" w:rsidRPr="00180996" w:rsidRDefault="00180996" w:rsidP="00180996">
      <w:pPr>
        <w:pStyle w:val="NormalWeb"/>
        <w:jc w:val="both"/>
        <w:rPr>
          <w:rFonts w:asciiTheme="majorHAnsi" w:hAnsiTheme="majorHAnsi" w:cstheme="majorHAnsi"/>
        </w:rPr>
      </w:pPr>
      <w:r w:rsidRPr="00180996">
        <w:rPr>
          <w:rFonts w:asciiTheme="majorHAnsi" w:hAnsiTheme="majorHAnsi" w:cstheme="majorHAnsi"/>
        </w:rPr>
        <w:t>Todos tenemos una voz interna que comenta lo que hacemos. En una autoestima frágil, esa voz suele ser hostil o castigadora. En una autoestima saludable, esa voz se convierte en guía: firme pero comprensiva.</w:t>
      </w:r>
    </w:p>
    <w:p w14:paraId="4E4EA729" w14:textId="77777777" w:rsidR="00180996" w:rsidRPr="00180996" w:rsidRDefault="00180996" w:rsidP="00180996">
      <w:pPr>
        <w:pStyle w:val="NormalWeb"/>
        <w:jc w:val="both"/>
        <w:rPr>
          <w:rFonts w:asciiTheme="majorHAnsi" w:hAnsiTheme="majorHAnsi" w:cstheme="majorHAnsi"/>
        </w:rPr>
      </w:pPr>
      <w:r w:rsidRPr="00180996">
        <w:rPr>
          <w:rFonts w:ascii="Apple Color Emoji" w:hAnsi="Apple Color Emoji" w:cs="Apple Color Emoji"/>
        </w:rPr>
        <w:t>👉</w:t>
      </w:r>
      <w:r w:rsidRPr="00180996">
        <w:rPr>
          <w:rFonts w:asciiTheme="majorHAnsi" w:hAnsiTheme="majorHAnsi" w:cstheme="majorHAnsi"/>
        </w:rPr>
        <w:t xml:space="preserve"> </w:t>
      </w:r>
      <w:r w:rsidRPr="00180996">
        <w:rPr>
          <w:rFonts w:asciiTheme="majorHAnsi" w:hAnsiTheme="majorHAnsi" w:cstheme="majorHAnsi"/>
          <w:i/>
          <w:iCs/>
        </w:rPr>
        <w:t>Ejemplo:</w:t>
      </w:r>
      <w:r w:rsidRPr="00180996">
        <w:rPr>
          <w:rFonts w:asciiTheme="majorHAnsi" w:hAnsiTheme="majorHAnsi" w:cstheme="majorHAnsi"/>
        </w:rPr>
        <w:t xml:space="preserve"> después de un error, la persona no se insulta ni se paraliza; se pregunta “¿qué puedo aprender de esto?” y sigue adelante.</w:t>
      </w:r>
    </w:p>
    <w:p w14:paraId="3A6FB520" w14:textId="77777777" w:rsidR="00180996" w:rsidRPr="00180996" w:rsidRDefault="00180996" w:rsidP="00180996">
      <w:pPr>
        <w:pStyle w:val="NormalWeb"/>
        <w:jc w:val="both"/>
        <w:rPr>
          <w:rFonts w:asciiTheme="majorHAnsi" w:hAnsiTheme="majorHAnsi" w:cstheme="majorHAnsi"/>
        </w:rPr>
      </w:pPr>
      <w:r w:rsidRPr="00180996">
        <w:rPr>
          <w:rFonts w:asciiTheme="majorHAnsi" w:hAnsiTheme="majorHAnsi" w:cstheme="majorHAnsi"/>
        </w:rPr>
        <w:t xml:space="preserve">Cultivar este diálogo interno es uno de los procesos más profundos de la terapia psicológica: </w:t>
      </w:r>
      <w:r w:rsidRPr="00180996">
        <w:rPr>
          <w:rFonts w:asciiTheme="majorHAnsi" w:hAnsiTheme="majorHAnsi" w:cstheme="majorHAnsi"/>
          <w:b/>
          <w:bCs/>
        </w:rPr>
        <w:t>aprender a hablarnos como le hablaríamos a alguien a quien amamos</w:t>
      </w:r>
      <w:r w:rsidRPr="00180996">
        <w:rPr>
          <w:rFonts w:asciiTheme="majorHAnsi" w:hAnsiTheme="majorHAnsi" w:cstheme="majorHAnsi"/>
        </w:rPr>
        <w:t>.</w:t>
      </w:r>
    </w:p>
    <w:p w14:paraId="70E37CDD" w14:textId="77777777" w:rsidR="00180996" w:rsidRPr="00180996" w:rsidRDefault="00180996" w:rsidP="00180996">
      <w:pPr>
        <w:pStyle w:val="Ttulo5"/>
      </w:pPr>
      <w:r w:rsidRPr="00180996">
        <w:t>3. Capacidad de poner límites sin culpa</w:t>
      </w:r>
    </w:p>
    <w:p w14:paraId="31F37EC3" w14:textId="77777777" w:rsidR="00180996" w:rsidRDefault="00180996" w:rsidP="00180996">
      <w:pPr>
        <w:pStyle w:val="NormalWeb"/>
        <w:jc w:val="both"/>
        <w:rPr>
          <w:rFonts w:asciiTheme="majorHAnsi" w:hAnsiTheme="majorHAnsi" w:cstheme="majorHAnsi"/>
        </w:rPr>
      </w:pPr>
      <w:r w:rsidRPr="00180996">
        <w:rPr>
          <w:rFonts w:asciiTheme="majorHAnsi" w:hAnsiTheme="majorHAnsi" w:cstheme="majorHAnsi"/>
        </w:rPr>
        <w:t>Una autoestima saludable implica saber decir “no” cuando algo nos daña o nos sobrepasa, y hacerlo sin sentir que eso nos hace egoístas.</w:t>
      </w:r>
    </w:p>
    <w:p w14:paraId="73B55677" w14:textId="6552D9E0" w:rsidR="00180996" w:rsidRDefault="00180996" w:rsidP="00180996">
      <w:pPr>
        <w:pStyle w:val="NormalWeb"/>
        <w:jc w:val="both"/>
        <w:rPr>
          <w:rFonts w:asciiTheme="majorHAnsi" w:hAnsiTheme="majorHAnsi" w:cstheme="majorHAnsi"/>
        </w:rPr>
      </w:pPr>
      <w:r w:rsidRPr="00180996">
        <w:rPr>
          <w:rFonts w:asciiTheme="majorHAnsi" w:hAnsiTheme="majorHAnsi" w:cstheme="majorHAnsi"/>
        </w:rPr>
        <w:t>Los límites son una forma de autocuidado, no de distancia.</w:t>
      </w:r>
    </w:p>
    <w:p w14:paraId="623A0B17" w14:textId="622B1645" w:rsidR="00180996" w:rsidRPr="00180996" w:rsidRDefault="00180996" w:rsidP="00180996">
      <w:pPr>
        <w:pStyle w:val="NormalWeb"/>
        <w:jc w:val="both"/>
        <w:rPr>
          <w:rFonts w:asciiTheme="majorHAnsi" w:hAnsiTheme="majorHAnsi" w:cstheme="majorHAnsi"/>
        </w:rPr>
      </w:pPr>
      <w:r w:rsidRPr="00180996">
        <w:rPr>
          <w:rFonts w:asciiTheme="majorHAnsi" w:hAnsiTheme="majorHAnsi" w:cstheme="majorHAnsi"/>
        </w:rPr>
        <w:t>Cuando una persona se respeta, no se deja consumir por las demandas externas ni por la necesidad de aprobación.</w:t>
      </w:r>
    </w:p>
    <w:p w14:paraId="67C86544" w14:textId="77777777" w:rsidR="00180996" w:rsidRPr="00180996" w:rsidRDefault="00180996" w:rsidP="00180996">
      <w:pPr>
        <w:pStyle w:val="NormalWeb"/>
        <w:jc w:val="both"/>
        <w:rPr>
          <w:rFonts w:asciiTheme="majorHAnsi" w:hAnsiTheme="majorHAnsi" w:cstheme="majorHAnsi"/>
        </w:rPr>
      </w:pPr>
      <w:r w:rsidRPr="00180996">
        <w:rPr>
          <w:rFonts w:ascii="Apple Color Emoji" w:hAnsi="Apple Color Emoji" w:cs="Apple Color Emoji"/>
        </w:rPr>
        <w:t>👉</w:t>
      </w:r>
      <w:r w:rsidRPr="00180996">
        <w:rPr>
          <w:rFonts w:asciiTheme="majorHAnsi" w:hAnsiTheme="majorHAnsi" w:cstheme="majorHAnsi"/>
        </w:rPr>
        <w:t xml:space="preserve"> </w:t>
      </w:r>
      <w:r w:rsidRPr="00180996">
        <w:rPr>
          <w:rFonts w:asciiTheme="majorHAnsi" w:hAnsiTheme="majorHAnsi" w:cstheme="majorHAnsi"/>
          <w:i/>
          <w:iCs/>
        </w:rPr>
        <w:t>Ejemplo:</w:t>
      </w:r>
      <w:r w:rsidRPr="00180996">
        <w:rPr>
          <w:rFonts w:asciiTheme="majorHAnsi" w:hAnsiTheme="majorHAnsi" w:cstheme="majorHAnsi"/>
        </w:rPr>
        <w:t xml:space="preserve"> alguien puede decidir no responder mensajes de trabajo en la noche sin sentir culpa, entendiendo que descansar también es parte de su valor.</w:t>
      </w:r>
    </w:p>
    <w:p w14:paraId="2DA17315" w14:textId="77777777" w:rsidR="00180996" w:rsidRPr="00180996" w:rsidRDefault="00180996" w:rsidP="00180996">
      <w:pPr>
        <w:pStyle w:val="Ttulo5"/>
        <w:rPr>
          <w:lang w:val="es-CO"/>
        </w:rPr>
      </w:pPr>
      <w:r w:rsidRPr="00180996">
        <w:rPr>
          <w:lang w:val="es-CO"/>
        </w:rPr>
        <w:t>4. Flexibilidad ante el error y la frustración</w:t>
      </w:r>
    </w:p>
    <w:p w14:paraId="25C8CA24" w14:textId="77777777" w:rsidR="00180996" w:rsidRPr="00180996" w:rsidRDefault="00180996" w:rsidP="00180996">
      <w:pPr>
        <w:pStyle w:val="NormalWeb"/>
        <w:jc w:val="both"/>
        <w:rPr>
          <w:rFonts w:asciiTheme="majorHAnsi" w:hAnsiTheme="majorHAnsi" w:cstheme="majorHAnsi"/>
        </w:rPr>
      </w:pPr>
      <w:r w:rsidRPr="00180996">
        <w:rPr>
          <w:rFonts w:asciiTheme="majorHAnsi" w:hAnsiTheme="majorHAnsi" w:cstheme="majorHAnsi"/>
        </w:rPr>
        <w:t>La autoestima sana reconoce que fallar no nos convierte en fracasados. El error se vive como parte natural del aprendizaje, no como una sentencia de incompetencia.</w:t>
      </w:r>
    </w:p>
    <w:p w14:paraId="22FF94EE" w14:textId="77777777" w:rsidR="00180996" w:rsidRPr="00180996" w:rsidRDefault="00180996" w:rsidP="00180996">
      <w:pPr>
        <w:pStyle w:val="NormalWeb"/>
        <w:jc w:val="both"/>
        <w:rPr>
          <w:rFonts w:asciiTheme="majorHAnsi" w:hAnsiTheme="majorHAnsi" w:cstheme="majorHAnsi"/>
        </w:rPr>
      </w:pPr>
      <w:r w:rsidRPr="00180996">
        <w:rPr>
          <w:rFonts w:ascii="Apple Color Emoji" w:hAnsi="Apple Color Emoji" w:cs="Apple Color Emoji"/>
        </w:rPr>
        <w:t>👉</w:t>
      </w:r>
      <w:r w:rsidRPr="00180996">
        <w:rPr>
          <w:rFonts w:asciiTheme="majorHAnsi" w:hAnsiTheme="majorHAnsi" w:cstheme="majorHAnsi"/>
        </w:rPr>
        <w:t xml:space="preserve"> </w:t>
      </w:r>
      <w:r w:rsidRPr="00180996">
        <w:rPr>
          <w:rFonts w:asciiTheme="majorHAnsi" w:hAnsiTheme="majorHAnsi" w:cstheme="majorHAnsi"/>
          <w:i/>
          <w:iCs/>
        </w:rPr>
        <w:t>Ejemplo:</w:t>
      </w:r>
      <w:r w:rsidRPr="00180996">
        <w:rPr>
          <w:rFonts w:asciiTheme="majorHAnsi" w:hAnsiTheme="majorHAnsi" w:cstheme="majorHAnsi"/>
        </w:rPr>
        <w:t xml:space="preserve"> un estudiante con buena autoestima puede suspender un examen y sentirse decepcionado, pero no destruir su autoconfianza. Piensa: “esta vez no salió, pero puedo mejorar mi método”.</w:t>
      </w:r>
    </w:p>
    <w:p w14:paraId="42013DBC" w14:textId="77777777" w:rsidR="00180996" w:rsidRPr="00180996" w:rsidRDefault="00180996" w:rsidP="00180996">
      <w:pPr>
        <w:pStyle w:val="NormalWeb"/>
        <w:jc w:val="both"/>
        <w:rPr>
          <w:rFonts w:asciiTheme="majorHAnsi" w:hAnsiTheme="majorHAnsi" w:cstheme="majorHAnsi"/>
        </w:rPr>
      </w:pPr>
      <w:r w:rsidRPr="00180996">
        <w:rPr>
          <w:rFonts w:asciiTheme="majorHAnsi" w:hAnsiTheme="majorHAnsi" w:cstheme="majorHAnsi"/>
        </w:rPr>
        <w:lastRenderedPageBreak/>
        <w:t xml:space="preserve">Esta flexibilidad permite </w:t>
      </w:r>
      <w:r w:rsidRPr="00180996">
        <w:rPr>
          <w:rFonts w:asciiTheme="majorHAnsi" w:hAnsiTheme="majorHAnsi" w:cstheme="majorHAnsi"/>
          <w:b/>
          <w:bCs/>
        </w:rPr>
        <w:t>resiliencia cognitiva</w:t>
      </w:r>
      <w:r w:rsidRPr="00180996">
        <w:rPr>
          <w:rFonts w:asciiTheme="majorHAnsi" w:hAnsiTheme="majorHAnsi" w:cstheme="majorHAnsi"/>
        </w:rPr>
        <w:t>: la capacidad de reinterpretar los tropiezos como oportunidades de crecimiento.</w:t>
      </w:r>
    </w:p>
    <w:p w14:paraId="50E1D7BF" w14:textId="77777777" w:rsidR="00180996" w:rsidRPr="00180996" w:rsidRDefault="00180996" w:rsidP="00180996">
      <w:pPr>
        <w:pStyle w:val="Ttulo5"/>
      </w:pPr>
      <w:r w:rsidRPr="00180996">
        <w:t>5. Independencia del juicio externo</w:t>
      </w:r>
    </w:p>
    <w:p w14:paraId="0211C1BF" w14:textId="77777777" w:rsidR="00180996" w:rsidRDefault="00180996" w:rsidP="00180996">
      <w:pPr>
        <w:pStyle w:val="NormalWeb"/>
        <w:jc w:val="both"/>
        <w:rPr>
          <w:rFonts w:asciiTheme="majorHAnsi" w:hAnsiTheme="majorHAnsi" w:cstheme="majorHAnsi"/>
        </w:rPr>
      </w:pPr>
      <w:r w:rsidRPr="00180996">
        <w:rPr>
          <w:rFonts w:asciiTheme="majorHAnsi" w:hAnsiTheme="majorHAnsi" w:cstheme="majorHAnsi"/>
        </w:rPr>
        <w:t>Las personas con autoestima saludable valoran la opinión de los demás, pero no la usan como único espejo.</w:t>
      </w:r>
    </w:p>
    <w:p w14:paraId="7CD69B98" w14:textId="77777777" w:rsidR="00180996" w:rsidRDefault="00180996" w:rsidP="00180996">
      <w:pPr>
        <w:pStyle w:val="NormalWeb"/>
        <w:jc w:val="both"/>
        <w:rPr>
          <w:rFonts w:asciiTheme="majorHAnsi" w:hAnsiTheme="majorHAnsi" w:cstheme="majorHAnsi"/>
        </w:rPr>
      </w:pPr>
      <w:r w:rsidRPr="00180996">
        <w:rPr>
          <w:rFonts w:asciiTheme="majorHAnsi" w:hAnsiTheme="majorHAnsi" w:cstheme="majorHAnsi"/>
        </w:rPr>
        <w:t>Pueden recibir una crítica sin derrumbarse y aceptar un halago sin depender de él para sentirse bien.</w:t>
      </w:r>
    </w:p>
    <w:p w14:paraId="031EA085" w14:textId="501C0C01" w:rsidR="00180996" w:rsidRPr="00180996" w:rsidRDefault="00180996" w:rsidP="00180996">
      <w:pPr>
        <w:pStyle w:val="NormalWeb"/>
        <w:jc w:val="both"/>
        <w:rPr>
          <w:rFonts w:asciiTheme="majorHAnsi" w:hAnsiTheme="majorHAnsi" w:cstheme="majorHAnsi"/>
        </w:rPr>
      </w:pPr>
      <w:r w:rsidRPr="00180996">
        <w:rPr>
          <w:rFonts w:asciiTheme="majorHAnsi" w:hAnsiTheme="majorHAnsi" w:cstheme="majorHAnsi"/>
        </w:rPr>
        <w:t xml:space="preserve">Esto no significa ser indiferente, sino tener un </w:t>
      </w:r>
      <w:r w:rsidRPr="00180996">
        <w:rPr>
          <w:rFonts w:asciiTheme="majorHAnsi" w:hAnsiTheme="majorHAnsi" w:cstheme="majorHAnsi"/>
          <w:b/>
          <w:bCs/>
        </w:rPr>
        <w:t>centro interno estable</w:t>
      </w:r>
      <w:r w:rsidRPr="00180996">
        <w:rPr>
          <w:rFonts w:asciiTheme="majorHAnsi" w:hAnsiTheme="majorHAnsi" w:cstheme="majorHAnsi"/>
        </w:rPr>
        <w:t xml:space="preserve"> desde el cual se evalúa la propia valía.</w:t>
      </w:r>
    </w:p>
    <w:p w14:paraId="4900B188" w14:textId="77777777" w:rsidR="00180996" w:rsidRPr="00180996" w:rsidRDefault="00180996" w:rsidP="00180996">
      <w:pPr>
        <w:pStyle w:val="NormalWeb"/>
        <w:jc w:val="both"/>
        <w:rPr>
          <w:rFonts w:asciiTheme="majorHAnsi" w:hAnsiTheme="majorHAnsi" w:cstheme="majorHAnsi"/>
        </w:rPr>
      </w:pPr>
      <w:r w:rsidRPr="00180996">
        <w:rPr>
          <w:rFonts w:ascii="Apple Color Emoji" w:hAnsi="Apple Color Emoji" w:cs="Apple Color Emoji"/>
        </w:rPr>
        <w:t>👉</w:t>
      </w:r>
      <w:r w:rsidRPr="00180996">
        <w:rPr>
          <w:rFonts w:asciiTheme="majorHAnsi" w:hAnsiTheme="majorHAnsi" w:cstheme="majorHAnsi"/>
        </w:rPr>
        <w:t xml:space="preserve"> </w:t>
      </w:r>
      <w:r w:rsidRPr="00180996">
        <w:rPr>
          <w:rFonts w:asciiTheme="majorHAnsi" w:hAnsiTheme="majorHAnsi" w:cstheme="majorHAnsi"/>
          <w:i/>
          <w:iCs/>
        </w:rPr>
        <w:t>Ejemplo:</w:t>
      </w:r>
      <w:r w:rsidRPr="00180996">
        <w:rPr>
          <w:rFonts w:asciiTheme="majorHAnsi" w:hAnsiTheme="majorHAnsi" w:cstheme="majorHAnsi"/>
        </w:rPr>
        <w:t xml:space="preserve"> alguien que presenta un proyecto puede sentirse satisfecho de su trabajo, aun si no recibe reconocimiento inmediato.</w:t>
      </w:r>
    </w:p>
    <w:p w14:paraId="4A44E8FD" w14:textId="77777777" w:rsidR="00180996" w:rsidRPr="00180996" w:rsidRDefault="00180996" w:rsidP="00180996">
      <w:pPr>
        <w:pStyle w:val="Ttulo5"/>
        <w:rPr>
          <w:lang w:val="es-CO"/>
        </w:rPr>
      </w:pPr>
      <w:r w:rsidRPr="00180996">
        <w:rPr>
          <w:lang w:val="es-CO"/>
        </w:rPr>
        <w:t>6. Coherencia entre valores, pensamientos y acciones</w:t>
      </w:r>
    </w:p>
    <w:p w14:paraId="50AB18DC" w14:textId="77777777" w:rsidR="00180996" w:rsidRPr="00180996" w:rsidRDefault="00180996" w:rsidP="00180996">
      <w:pPr>
        <w:pStyle w:val="NormalWeb"/>
        <w:jc w:val="both"/>
        <w:rPr>
          <w:rFonts w:asciiTheme="majorHAnsi" w:hAnsiTheme="majorHAnsi" w:cstheme="majorHAnsi"/>
        </w:rPr>
      </w:pPr>
      <w:r w:rsidRPr="00180996">
        <w:rPr>
          <w:rFonts w:asciiTheme="majorHAnsi" w:hAnsiTheme="majorHAnsi" w:cstheme="majorHAnsi"/>
        </w:rPr>
        <w:t xml:space="preserve">La autoestima se fortalece cuando hay </w:t>
      </w:r>
      <w:r w:rsidRPr="00180996">
        <w:rPr>
          <w:rFonts w:asciiTheme="majorHAnsi" w:hAnsiTheme="majorHAnsi" w:cstheme="majorHAnsi"/>
          <w:b/>
          <w:bCs/>
        </w:rPr>
        <w:t>alineación interna</w:t>
      </w:r>
      <w:r w:rsidRPr="00180996">
        <w:rPr>
          <w:rFonts w:asciiTheme="majorHAnsi" w:hAnsiTheme="majorHAnsi" w:cstheme="majorHAnsi"/>
        </w:rPr>
        <w:t>. Vivir de acuerdo con los propios valores da una sensación de integridad y paz que refuerza la confianza personal.</w:t>
      </w:r>
      <w:r w:rsidRPr="00180996">
        <w:rPr>
          <w:rFonts w:asciiTheme="majorHAnsi" w:hAnsiTheme="majorHAnsi" w:cstheme="majorHAnsi"/>
        </w:rPr>
        <w:br/>
        <w:t>La incongruencia —decir una cosa y hacer otra— erosiona lentamente el respeto por uno mismo.</w:t>
      </w:r>
    </w:p>
    <w:p w14:paraId="4EE59FCA" w14:textId="77777777" w:rsidR="00180996" w:rsidRPr="00180996" w:rsidRDefault="00180996" w:rsidP="00180996">
      <w:pPr>
        <w:pStyle w:val="NormalWeb"/>
        <w:jc w:val="both"/>
        <w:rPr>
          <w:rFonts w:asciiTheme="majorHAnsi" w:hAnsiTheme="majorHAnsi" w:cstheme="majorHAnsi"/>
        </w:rPr>
      </w:pPr>
      <w:r w:rsidRPr="00180996">
        <w:rPr>
          <w:rFonts w:ascii="Apple Color Emoji" w:hAnsi="Apple Color Emoji" w:cs="Apple Color Emoji"/>
        </w:rPr>
        <w:t>👉</w:t>
      </w:r>
      <w:r w:rsidRPr="00180996">
        <w:rPr>
          <w:rFonts w:asciiTheme="majorHAnsi" w:hAnsiTheme="majorHAnsi" w:cstheme="majorHAnsi"/>
        </w:rPr>
        <w:t xml:space="preserve"> </w:t>
      </w:r>
      <w:r w:rsidRPr="00180996">
        <w:rPr>
          <w:rFonts w:asciiTheme="majorHAnsi" w:hAnsiTheme="majorHAnsi" w:cstheme="majorHAnsi"/>
          <w:i/>
          <w:iCs/>
        </w:rPr>
        <w:t>Ejemplo:</w:t>
      </w:r>
      <w:r w:rsidRPr="00180996">
        <w:rPr>
          <w:rFonts w:asciiTheme="majorHAnsi" w:hAnsiTheme="majorHAnsi" w:cstheme="majorHAnsi"/>
        </w:rPr>
        <w:t xml:space="preserve"> una persona que valora la honestidad pero miente con frecuencia puede experimentar disonancia interna y sensación de vacío. En cambio, quien actúa de forma coherente con sus principios refuerza su autoconfianza.</w:t>
      </w:r>
    </w:p>
    <w:p w14:paraId="7B1D49D5" w14:textId="77777777" w:rsidR="00180996" w:rsidRPr="00180996" w:rsidRDefault="00180996" w:rsidP="00180996">
      <w:pPr>
        <w:pStyle w:val="Ttulo5"/>
        <w:rPr>
          <w:lang w:val="es-CO"/>
        </w:rPr>
      </w:pPr>
      <w:r w:rsidRPr="00180996">
        <w:rPr>
          <w:lang w:val="es-CO"/>
        </w:rPr>
        <w:t>7. Capacidad de recibir y dar afecto de manera equilibrada</w:t>
      </w:r>
    </w:p>
    <w:p w14:paraId="2DA66006" w14:textId="77777777" w:rsidR="00180996" w:rsidRPr="00180996" w:rsidRDefault="00180996" w:rsidP="00180996">
      <w:pPr>
        <w:pStyle w:val="NormalWeb"/>
        <w:jc w:val="both"/>
        <w:rPr>
          <w:rFonts w:asciiTheme="majorHAnsi" w:hAnsiTheme="majorHAnsi" w:cstheme="majorHAnsi"/>
        </w:rPr>
      </w:pPr>
      <w:r w:rsidRPr="00180996">
        <w:rPr>
          <w:rFonts w:asciiTheme="majorHAnsi" w:hAnsiTheme="majorHAnsi" w:cstheme="majorHAnsi"/>
        </w:rPr>
        <w:t>Una autoestima sana permite vincularse desde el amor, no desde la carencia. La persona se siente merecedora de cariño y, al mismo tiempo, capaz de ofrecerlo sin miedo a perderse a sí misma.</w:t>
      </w:r>
      <w:r w:rsidRPr="00180996">
        <w:rPr>
          <w:rFonts w:asciiTheme="majorHAnsi" w:hAnsiTheme="majorHAnsi" w:cstheme="majorHAnsi"/>
        </w:rPr>
        <w:br/>
        <w:t>El afecto deja de ser un intercambio de validación y se convierte en un espacio de encuentro y crecimiento.</w:t>
      </w:r>
    </w:p>
    <w:p w14:paraId="62BE9261" w14:textId="77777777" w:rsidR="00180996" w:rsidRPr="00180996" w:rsidRDefault="00180996" w:rsidP="00180996">
      <w:pPr>
        <w:pStyle w:val="NormalWeb"/>
        <w:jc w:val="both"/>
        <w:rPr>
          <w:rFonts w:asciiTheme="majorHAnsi" w:hAnsiTheme="majorHAnsi" w:cstheme="majorHAnsi"/>
        </w:rPr>
      </w:pPr>
      <w:r w:rsidRPr="00180996">
        <w:rPr>
          <w:rFonts w:ascii="Apple Color Emoji" w:hAnsi="Apple Color Emoji" w:cs="Apple Color Emoji"/>
        </w:rPr>
        <w:t>👉</w:t>
      </w:r>
      <w:r w:rsidRPr="00180996">
        <w:rPr>
          <w:rFonts w:asciiTheme="majorHAnsi" w:hAnsiTheme="majorHAnsi" w:cstheme="majorHAnsi"/>
        </w:rPr>
        <w:t xml:space="preserve"> </w:t>
      </w:r>
      <w:r w:rsidRPr="00180996">
        <w:rPr>
          <w:rFonts w:asciiTheme="majorHAnsi" w:hAnsiTheme="majorHAnsi" w:cstheme="majorHAnsi"/>
          <w:i/>
          <w:iCs/>
        </w:rPr>
        <w:t>Ejemplo:</w:t>
      </w:r>
      <w:r w:rsidRPr="00180996">
        <w:rPr>
          <w:rFonts w:asciiTheme="majorHAnsi" w:hAnsiTheme="majorHAnsi" w:cstheme="majorHAnsi"/>
        </w:rPr>
        <w:t xml:space="preserve"> en una relación, alguien con autoestima fortalecida puede disfrutar del amor sin obsesionarse con ser indispensable o temer al abandono.</w:t>
      </w:r>
    </w:p>
    <w:p w14:paraId="304F99B3" w14:textId="77777777" w:rsidR="00180996" w:rsidRPr="00180996" w:rsidRDefault="00180996" w:rsidP="00180996">
      <w:pPr>
        <w:pStyle w:val="Ttulo3"/>
      </w:pPr>
      <w:r w:rsidRPr="00180996">
        <w:t xml:space="preserve">Cómo se construye una autoestima saludable día </w:t>
      </w:r>
      <w:proofErr w:type="gramStart"/>
      <w:r w:rsidRPr="00180996">
        <w:t>a</w:t>
      </w:r>
      <w:proofErr w:type="gramEnd"/>
      <w:r w:rsidRPr="00180996">
        <w:t xml:space="preserve"> día</w:t>
      </w:r>
    </w:p>
    <w:p w14:paraId="78C83ECB" w14:textId="77777777" w:rsidR="00180996" w:rsidRPr="00180996" w:rsidRDefault="00180996" w:rsidP="00180996">
      <w:pPr>
        <w:pStyle w:val="NormalWeb"/>
        <w:jc w:val="both"/>
        <w:rPr>
          <w:rFonts w:asciiTheme="majorHAnsi" w:hAnsiTheme="majorHAnsi" w:cstheme="majorHAnsi"/>
        </w:rPr>
      </w:pPr>
      <w:r w:rsidRPr="00180996">
        <w:rPr>
          <w:rFonts w:asciiTheme="majorHAnsi" w:hAnsiTheme="majorHAnsi" w:cstheme="majorHAnsi"/>
        </w:rPr>
        <w:t xml:space="preserve">La autoestima no se alcanza de una vez. Se </w:t>
      </w:r>
      <w:r w:rsidRPr="00180996">
        <w:rPr>
          <w:rFonts w:asciiTheme="majorHAnsi" w:hAnsiTheme="majorHAnsi" w:cstheme="majorHAnsi"/>
          <w:b/>
          <w:bCs/>
        </w:rPr>
        <w:t>cultiva</w:t>
      </w:r>
      <w:r w:rsidRPr="00180996">
        <w:rPr>
          <w:rFonts w:asciiTheme="majorHAnsi" w:hAnsiTheme="majorHAnsi" w:cstheme="majorHAnsi"/>
        </w:rPr>
        <w:t xml:space="preserve"> con pequeñas acciones diarias, igual que una planta que crece con constancia y cuidado.</w:t>
      </w:r>
    </w:p>
    <w:p w14:paraId="351DD8A0" w14:textId="77777777" w:rsidR="00180996" w:rsidRPr="00180996" w:rsidRDefault="00180996" w:rsidP="00180996">
      <w:pPr>
        <w:pStyle w:val="NormalWeb"/>
        <w:numPr>
          <w:ilvl w:val="0"/>
          <w:numId w:val="29"/>
        </w:numPr>
        <w:jc w:val="both"/>
        <w:rPr>
          <w:rFonts w:asciiTheme="majorHAnsi" w:hAnsiTheme="majorHAnsi" w:cstheme="majorHAnsi"/>
        </w:rPr>
      </w:pPr>
      <w:r w:rsidRPr="00180996">
        <w:rPr>
          <w:rFonts w:asciiTheme="majorHAnsi" w:hAnsiTheme="majorHAnsi" w:cstheme="majorHAnsi"/>
          <w:b/>
          <w:bCs/>
        </w:rPr>
        <w:lastRenderedPageBreak/>
        <w:t>A través del autoconocimiento:</w:t>
      </w:r>
      <w:r w:rsidRPr="00180996">
        <w:rPr>
          <w:rFonts w:asciiTheme="majorHAnsi" w:hAnsiTheme="majorHAnsi" w:cstheme="majorHAnsi"/>
        </w:rPr>
        <w:t xml:space="preserve"> detenernos a observar cómo nos tratamos, qué nos decimos, qué emociones evitamos.</w:t>
      </w:r>
    </w:p>
    <w:p w14:paraId="550C34BC" w14:textId="77777777" w:rsidR="00180996" w:rsidRPr="00180996" w:rsidRDefault="00180996" w:rsidP="00180996">
      <w:pPr>
        <w:pStyle w:val="NormalWeb"/>
        <w:numPr>
          <w:ilvl w:val="0"/>
          <w:numId w:val="29"/>
        </w:numPr>
        <w:jc w:val="both"/>
        <w:rPr>
          <w:rFonts w:asciiTheme="majorHAnsi" w:hAnsiTheme="majorHAnsi" w:cstheme="majorHAnsi"/>
        </w:rPr>
      </w:pPr>
      <w:r w:rsidRPr="00180996">
        <w:rPr>
          <w:rFonts w:asciiTheme="majorHAnsi" w:hAnsiTheme="majorHAnsi" w:cstheme="majorHAnsi"/>
          <w:b/>
          <w:bCs/>
        </w:rPr>
        <w:t>Mediante la autocompasión:</w:t>
      </w:r>
      <w:r w:rsidRPr="00180996">
        <w:rPr>
          <w:rFonts w:asciiTheme="majorHAnsi" w:hAnsiTheme="majorHAnsi" w:cstheme="majorHAnsi"/>
        </w:rPr>
        <w:t xml:space="preserve"> entender que somos seres humanos, imperfectos, y que el error no borra nuestro valor.</w:t>
      </w:r>
    </w:p>
    <w:p w14:paraId="504FFC7E" w14:textId="77777777" w:rsidR="00180996" w:rsidRPr="00180996" w:rsidRDefault="00180996" w:rsidP="00180996">
      <w:pPr>
        <w:pStyle w:val="NormalWeb"/>
        <w:numPr>
          <w:ilvl w:val="0"/>
          <w:numId w:val="29"/>
        </w:numPr>
        <w:jc w:val="both"/>
        <w:rPr>
          <w:rFonts w:asciiTheme="majorHAnsi" w:hAnsiTheme="majorHAnsi" w:cstheme="majorHAnsi"/>
        </w:rPr>
      </w:pPr>
      <w:r w:rsidRPr="00180996">
        <w:rPr>
          <w:rFonts w:asciiTheme="majorHAnsi" w:hAnsiTheme="majorHAnsi" w:cstheme="majorHAnsi"/>
          <w:b/>
          <w:bCs/>
        </w:rPr>
        <w:t>Con prácticas de coherencia:</w:t>
      </w:r>
      <w:r w:rsidRPr="00180996">
        <w:rPr>
          <w:rFonts w:asciiTheme="majorHAnsi" w:hAnsiTheme="majorHAnsi" w:cstheme="majorHAnsi"/>
        </w:rPr>
        <w:t xml:space="preserve"> actuar conforme a lo que creemos justo y valioso, aunque sea difícil.</w:t>
      </w:r>
    </w:p>
    <w:p w14:paraId="279652B4" w14:textId="77777777" w:rsidR="00180996" w:rsidRPr="00180996" w:rsidRDefault="00180996" w:rsidP="00180996">
      <w:pPr>
        <w:pStyle w:val="NormalWeb"/>
        <w:numPr>
          <w:ilvl w:val="0"/>
          <w:numId w:val="29"/>
        </w:numPr>
        <w:jc w:val="both"/>
        <w:rPr>
          <w:rFonts w:asciiTheme="majorHAnsi" w:hAnsiTheme="majorHAnsi" w:cstheme="majorHAnsi"/>
        </w:rPr>
      </w:pPr>
      <w:r w:rsidRPr="00180996">
        <w:rPr>
          <w:rFonts w:asciiTheme="majorHAnsi" w:hAnsiTheme="majorHAnsi" w:cstheme="majorHAnsi"/>
          <w:b/>
          <w:bCs/>
        </w:rPr>
        <w:t>Con vínculos nutritivos:</w:t>
      </w:r>
      <w:r w:rsidRPr="00180996">
        <w:rPr>
          <w:rFonts w:asciiTheme="majorHAnsi" w:hAnsiTheme="majorHAnsi" w:cstheme="majorHAnsi"/>
        </w:rPr>
        <w:t xml:space="preserve"> rodearnos de personas que sumen, no que desgasten nuestra percepción de valía.</w:t>
      </w:r>
    </w:p>
    <w:p w14:paraId="4CEF9091" w14:textId="77777777" w:rsidR="00180996" w:rsidRPr="00180996" w:rsidRDefault="00180996" w:rsidP="00180996">
      <w:pPr>
        <w:pStyle w:val="NormalWeb"/>
        <w:numPr>
          <w:ilvl w:val="0"/>
          <w:numId w:val="29"/>
        </w:numPr>
        <w:jc w:val="both"/>
        <w:rPr>
          <w:rFonts w:asciiTheme="majorHAnsi" w:hAnsiTheme="majorHAnsi" w:cstheme="majorHAnsi"/>
        </w:rPr>
      </w:pPr>
      <w:r w:rsidRPr="00180996">
        <w:rPr>
          <w:rFonts w:asciiTheme="majorHAnsi" w:hAnsiTheme="majorHAnsi" w:cstheme="majorHAnsi"/>
          <w:b/>
          <w:bCs/>
        </w:rPr>
        <w:t>Con gratitud y presencia:</w:t>
      </w:r>
      <w:r w:rsidRPr="00180996">
        <w:rPr>
          <w:rFonts w:asciiTheme="majorHAnsi" w:hAnsiTheme="majorHAnsi" w:cstheme="majorHAnsi"/>
        </w:rPr>
        <w:t xml:space="preserve"> reconocer los avances, por pequeños que parezcan, y valorar el proceso más que la perfección.</w:t>
      </w:r>
    </w:p>
    <w:p w14:paraId="1D89E7F7" w14:textId="77777777" w:rsidR="00180996" w:rsidRPr="00180996" w:rsidRDefault="00180996" w:rsidP="00180996">
      <w:pPr>
        <w:pStyle w:val="NormalWeb"/>
        <w:jc w:val="both"/>
        <w:rPr>
          <w:rFonts w:asciiTheme="majorHAnsi" w:hAnsiTheme="majorHAnsi" w:cstheme="majorHAnsi"/>
        </w:rPr>
      </w:pPr>
      <w:r w:rsidRPr="00180996">
        <w:rPr>
          <w:rFonts w:asciiTheme="majorHAnsi" w:hAnsiTheme="majorHAnsi" w:cstheme="majorHAnsi"/>
        </w:rPr>
        <w:t xml:space="preserve">Cada vez que una persona elige tratarse con respeto, marcar un límite, celebrar un logro o perdonarse un error, está </w:t>
      </w:r>
      <w:r w:rsidRPr="00180996">
        <w:rPr>
          <w:rFonts w:asciiTheme="majorHAnsi" w:hAnsiTheme="majorHAnsi" w:cstheme="majorHAnsi"/>
          <w:b/>
          <w:bCs/>
        </w:rPr>
        <w:t>entrenando su cerebro</w:t>
      </w:r>
      <w:r w:rsidRPr="00180996">
        <w:rPr>
          <w:rFonts w:asciiTheme="majorHAnsi" w:hAnsiTheme="majorHAnsi" w:cstheme="majorHAnsi"/>
        </w:rPr>
        <w:t xml:space="preserve"> para sostener una autoestima más estable.</w:t>
      </w:r>
      <w:r w:rsidRPr="00180996">
        <w:rPr>
          <w:rFonts w:asciiTheme="majorHAnsi" w:hAnsiTheme="majorHAnsi" w:cstheme="majorHAnsi"/>
        </w:rPr>
        <w:br/>
        <w:t>Y ese entrenamiento —emocional, cognitivo y biológico— es lo que, a largo plazo, define la diferencia entre sobrevivir y vivir con sentido.</w:t>
      </w:r>
    </w:p>
    <w:p w14:paraId="565DD978" w14:textId="5212F115" w:rsidR="00180996" w:rsidRDefault="00A813D0" w:rsidP="00A813D0">
      <w:pPr>
        <w:pStyle w:val="NormalWeb"/>
        <w:jc w:val="center"/>
        <w:rPr>
          <w:rFonts w:asciiTheme="majorHAnsi" w:hAnsiTheme="majorHAnsi" w:cstheme="majorHAnsi"/>
        </w:rPr>
      </w:pPr>
      <w:r>
        <w:fldChar w:fldCharType="begin"/>
      </w:r>
      <w:r>
        <w:instrText xml:space="preserve"> INCLUDEPICTURE "https://sdmntprnorthcentralus.oaiusercontent.com/files/00000000-bcb4-622f-b9c4-05e62c7b2db7/raw?se=2025-10-05T04%3A43%3A00Z&amp;sp=r&amp;sv=2024-08-04&amp;sr=b&amp;scid=ebdb45cd-a109-5c5f-9efe-a1c6b9847fd3&amp;skoid=77636ecc-ad8d-44df-baa7-163b524a0261&amp;sktid=a48cca56-e6da-484e-a814-9c849652bcb3&amp;skt=2025-10-04T13%3A19%3A34Z&amp;ske=2025-10-05T13%3A19%3A34Z&amp;sks=b&amp;skv=2024-08-04&amp;sig=bnRX70/yK2NCe7AHUHJ/yCimsvYO1Hssh3XZHChhHQQ%3D" \* MERGEFORMATINET </w:instrText>
      </w:r>
      <w:r>
        <w:fldChar w:fldCharType="separate"/>
      </w:r>
      <w:r>
        <w:rPr>
          <w:noProof/>
        </w:rPr>
        <w:drawing>
          <wp:inline distT="0" distB="0" distL="0" distR="0" wp14:anchorId="18ED872C" wp14:editId="4693D6F0">
            <wp:extent cx="3073400" cy="3073400"/>
            <wp:effectExtent l="0" t="0" r="0" b="0"/>
            <wp:docPr id="13150912" name="Imagen 3" descr="Imagen gener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Imagen generad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73400" cy="3073400"/>
                    </a:xfrm>
                    <a:prstGeom prst="rect">
                      <a:avLst/>
                    </a:prstGeom>
                    <a:noFill/>
                    <a:ln>
                      <a:noFill/>
                    </a:ln>
                  </pic:spPr>
                </pic:pic>
              </a:graphicData>
            </a:graphic>
          </wp:inline>
        </w:drawing>
      </w:r>
      <w:r>
        <w:fldChar w:fldCharType="end"/>
      </w:r>
    </w:p>
    <w:p w14:paraId="5F0EBE70" w14:textId="77777777" w:rsidR="00794F6E" w:rsidRPr="00EA09FB" w:rsidRDefault="00794F6E" w:rsidP="00151399">
      <w:pPr>
        <w:pStyle w:val="Ttulo2"/>
        <w:jc w:val="both"/>
        <w:rPr>
          <w:rFonts w:cstheme="majorHAnsi"/>
          <w:lang w:val="es-CO"/>
        </w:rPr>
      </w:pPr>
      <w:r w:rsidRPr="00EA09FB">
        <w:rPr>
          <w:rStyle w:val="Textoennegrita"/>
          <w:rFonts w:cstheme="majorHAnsi"/>
          <w:b w:val="0"/>
          <w:bCs w:val="0"/>
          <w:color w:val="134163" w:themeColor="accent2" w:themeShade="80"/>
          <w:spacing w:val="15"/>
          <w:lang w:val="es-CO"/>
        </w:rPr>
        <w:t>Capítulo 9. Recomendaciones prácticas para pacientes</w:t>
      </w:r>
    </w:p>
    <w:p w14:paraId="39E2D358" w14:textId="77777777"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La autoestima no se cambia con frases positivas ni con consejos fugaces. Se transforma con práctica, paciencia y autocomprensión. Fortalecerla implica reconstruir la relación que cada persona tiene consigo misma: aprender a tratarse con la misma amabilidad que se le ofrece a quienes ama, reconocer los propios límites sin juzgarlos y dar espacio a los errores sin convertirlos en condenas.</w:t>
      </w:r>
    </w:p>
    <w:p w14:paraId="4DD2A305" w14:textId="77777777"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lastRenderedPageBreak/>
        <w:t xml:space="preserve">Desde la psicología clínica sabemos que la autoestima se moldea con la experiencia. No basta con pensarse valioso, es necesario </w:t>
      </w:r>
      <w:r w:rsidRPr="00F97E4C">
        <w:rPr>
          <w:rStyle w:val="Textoennegrita"/>
          <w:rFonts w:asciiTheme="majorHAnsi" w:hAnsiTheme="majorHAnsi" w:cstheme="majorHAnsi"/>
        </w:rPr>
        <w:t>vivirse como alguien valioso</w:t>
      </w:r>
      <w:r w:rsidRPr="00F97E4C">
        <w:rPr>
          <w:rFonts w:asciiTheme="majorHAnsi" w:hAnsiTheme="majorHAnsi" w:cstheme="majorHAnsi"/>
        </w:rPr>
        <w:t>: en las decisiones, en la forma de hablarse, en el trato cotidiano con el propio cuerpo, el tiempo y las emociones.</w:t>
      </w:r>
    </w:p>
    <w:p w14:paraId="24C4DEAB" w14:textId="77777777"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A continuación exploraremos algunas estrategias que, acompañadas de terapia, ayudan a fortalecer esta dimensión esencial del bienestar psicológico.</w:t>
      </w:r>
    </w:p>
    <w:p w14:paraId="052FC257" w14:textId="22E5E703" w:rsidR="00F97E4C" w:rsidRPr="00F97E4C" w:rsidRDefault="00F97E4C" w:rsidP="00F97E4C">
      <w:pPr>
        <w:pStyle w:val="Ttulo2"/>
        <w:rPr>
          <w:rFonts w:cstheme="majorHAnsi"/>
          <w:lang w:val="es-CO"/>
        </w:rPr>
      </w:pPr>
      <w:r w:rsidRPr="00F97E4C">
        <w:rPr>
          <w:rStyle w:val="Textoennegrita"/>
          <w:rFonts w:cstheme="majorHAnsi"/>
          <w:b w:val="0"/>
          <w:bCs w:val="0"/>
          <w:lang w:val="es-CO"/>
        </w:rPr>
        <w:t>Cambiar el diálogo interno</w:t>
      </w:r>
    </w:p>
    <w:p w14:paraId="143F24CD" w14:textId="77777777"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El primer paso es observar cómo nos hablamos. Muchas personas repiten, sin darse cuenta, frases que dañan su autoconfianza:</w:t>
      </w:r>
    </w:p>
    <w:p w14:paraId="3CD379AA" w14:textId="77777777" w:rsidR="00F97E4C" w:rsidRPr="00F97E4C" w:rsidRDefault="00F97E4C" w:rsidP="00F97E4C">
      <w:pPr>
        <w:pStyle w:val="NormalWeb"/>
        <w:jc w:val="center"/>
        <w:rPr>
          <w:rFonts w:asciiTheme="majorHAnsi" w:hAnsiTheme="majorHAnsi" w:cstheme="majorHAnsi"/>
          <w:i/>
          <w:iCs/>
        </w:rPr>
      </w:pPr>
      <w:r w:rsidRPr="00F97E4C">
        <w:rPr>
          <w:rFonts w:asciiTheme="majorHAnsi" w:hAnsiTheme="majorHAnsi" w:cstheme="majorHAnsi"/>
          <w:i/>
          <w:iCs/>
        </w:rPr>
        <w:t>“Todo lo hago mal.”</w:t>
      </w:r>
    </w:p>
    <w:p w14:paraId="56C6112C" w14:textId="77777777" w:rsidR="00F97E4C" w:rsidRPr="00F97E4C" w:rsidRDefault="00F97E4C" w:rsidP="00F97E4C">
      <w:pPr>
        <w:pStyle w:val="NormalWeb"/>
        <w:jc w:val="center"/>
        <w:rPr>
          <w:rFonts w:asciiTheme="majorHAnsi" w:hAnsiTheme="majorHAnsi" w:cstheme="majorHAnsi"/>
          <w:i/>
          <w:iCs/>
        </w:rPr>
      </w:pPr>
      <w:r w:rsidRPr="00F97E4C">
        <w:rPr>
          <w:rFonts w:asciiTheme="majorHAnsi" w:hAnsiTheme="majorHAnsi" w:cstheme="majorHAnsi"/>
          <w:i/>
          <w:iCs/>
        </w:rPr>
        <w:t>“No soy suficiente.”</w:t>
      </w:r>
    </w:p>
    <w:p w14:paraId="557391DB" w14:textId="078D98E8" w:rsidR="00F97E4C" w:rsidRPr="00F97E4C" w:rsidRDefault="00F97E4C" w:rsidP="00F97E4C">
      <w:pPr>
        <w:pStyle w:val="NormalWeb"/>
        <w:jc w:val="center"/>
        <w:rPr>
          <w:rFonts w:asciiTheme="majorHAnsi" w:hAnsiTheme="majorHAnsi" w:cstheme="majorHAnsi"/>
          <w:i/>
          <w:iCs/>
        </w:rPr>
      </w:pPr>
      <w:r w:rsidRPr="00F97E4C">
        <w:rPr>
          <w:rFonts w:asciiTheme="majorHAnsi" w:hAnsiTheme="majorHAnsi" w:cstheme="majorHAnsi"/>
          <w:i/>
          <w:iCs/>
        </w:rPr>
        <w:t>“Los demás pueden, yo no.”</w:t>
      </w:r>
    </w:p>
    <w:p w14:paraId="71A9B00E" w14:textId="77777777" w:rsidR="00F97E4C" w:rsidRDefault="00F97E4C" w:rsidP="00F97E4C">
      <w:pPr>
        <w:pStyle w:val="NormalWeb"/>
        <w:jc w:val="both"/>
        <w:rPr>
          <w:rFonts w:asciiTheme="majorHAnsi" w:hAnsiTheme="majorHAnsi" w:cstheme="majorHAnsi"/>
        </w:rPr>
      </w:pPr>
      <w:r w:rsidRPr="00F97E4C">
        <w:rPr>
          <w:rFonts w:asciiTheme="majorHAnsi" w:hAnsiTheme="majorHAnsi" w:cstheme="majorHAnsi"/>
        </w:rPr>
        <w:t xml:space="preserve">Estas frases no describen la realidad: la </w:t>
      </w:r>
      <w:r w:rsidRPr="00F97E4C">
        <w:rPr>
          <w:rStyle w:val="Textoennegrita"/>
          <w:rFonts w:asciiTheme="majorHAnsi" w:hAnsiTheme="majorHAnsi" w:cstheme="majorHAnsi"/>
        </w:rPr>
        <w:t>construyen</w:t>
      </w:r>
      <w:r w:rsidRPr="00F97E4C">
        <w:rPr>
          <w:rFonts w:asciiTheme="majorHAnsi" w:hAnsiTheme="majorHAnsi" w:cstheme="majorHAnsi"/>
        </w:rPr>
        <w:t>.</w:t>
      </w:r>
    </w:p>
    <w:p w14:paraId="4DAF600A" w14:textId="15D4004D"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Cuando el diálogo interno es hostil, el cerebro activa circuitos de amenaza (amígdala e hipotálamo) y libera cortisol, lo que aumenta la tensión y refuerza la sensación de incapacidad.</w:t>
      </w:r>
    </w:p>
    <w:p w14:paraId="3362B6F8" w14:textId="77777777" w:rsidR="00F97E4C" w:rsidRDefault="00F97E4C" w:rsidP="00F97E4C">
      <w:pPr>
        <w:pStyle w:val="NormalWeb"/>
        <w:jc w:val="both"/>
        <w:rPr>
          <w:rStyle w:val="Textoennegrita"/>
          <w:rFonts w:asciiTheme="majorHAnsi" w:hAnsiTheme="majorHAnsi" w:cstheme="majorHAnsi"/>
        </w:rPr>
      </w:pPr>
      <w:r w:rsidRPr="00F97E4C">
        <w:rPr>
          <w:rStyle w:val="Textoennegrita"/>
          <w:rFonts w:asciiTheme="majorHAnsi" w:hAnsiTheme="majorHAnsi" w:cstheme="majorHAnsi"/>
        </w:rPr>
        <w:t>Ejercicio práctico:</w:t>
      </w:r>
    </w:p>
    <w:p w14:paraId="5C044589" w14:textId="6D8BF637"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Durante una semana, escribe en una libreta tres frases negativas que notes en tu mente. Luego, formula una versión más realista o amable.</w:t>
      </w:r>
      <w:r w:rsidRPr="00F97E4C">
        <w:rPr>
          <w:rFonts w:asciiTheme="majorHAnsi" w:hAnsiTheme="majorHAnsi" w:cstheme="majorHAnsi"/>
        </w:rPr>
        <w:br/>
        <w:t>Ejemplo:</w:t>
      </w:r>
    </w:p>
    <w:p w14:paraId="2AEC73CF" w14:textId="77777777" w:rsidR="00F97E4C" w:rsidRPr="00F97E4C" w:rsidRDefault="00F97E4C" w:rsidP="00F97E4C">
      <w:pPr>
        <w:pStyle w:val="NormalWeb"/>
        <w:numPr>
          <w:ilvl w:val="0"/>
          <w:numId w:val="30"/>
        </w:numPr>
        <w:jc w:val="both"/>
        <w:rPr>
          <w:rFonts w:asciiTheme="majorHAnsi" w:hAnsiTheme="majorHAnsi" w:cstheme="majorHAnsi"/>
        </w:rPr>
      </w:pPr>
      <w:r w:rsidRPr="00F97E4C">
        <w:rPr>
          <w:rFonts w:asciiTheme="majorHAnsi" w:hAnsiTheme="majorHAnsi" w:cstheme="majorHAnsi"/>
        </w:rPr>
        <w:t>“Soy un desastre” → “Estoy aprendiendo; a veces me equivoco, pero también mejoro.”</w:t>
      </w:r>
    </w:p>
    <w:p w14:paraId="4C239A46" w14:textId="77777777" w:rsidR="00F97E4C" w:rsidRPr="00F97E4C" w:rsidRDefault="00F97E4C" w:rsidP="00F97E4C">
      <w:pPr>
        <w:pStyle w:val="NormalWeb"/>
        <w:numPr>
          <w:ilvl w:val="0"/>
          <w:numId w:val="30"/>
        </w:numPr>
        <w:jc w:val="both"/>
        <w:rPr>
          <w:rFonts w:asciiTheme="majorHAnsi" w:hAnsiTheme="majorHAnsi" w:cstheme="majorHAnsi"/>
        </w:rPr>
      </w:pPr>
      <w:r w:rsidRPr="00F97E4C">
        <w:rPr>
          <w:rFonts w:asciiTheme="majorHAnsi" w:hAnsiTheme="majorHAnsi" w:cstheme="majorHAnsi"/>
        </w:rPr>
        <w:t>“No soy lo bastante inteligente” → “Hay cosas que aún no sé, pero tengo la capacidad de aprenderlas.”</w:t>
      </w:r>
    </w:p>
    <w:p w14:paraId="0CE2539D" w14:textId="77777777"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 xml:space="preserve">Este ejercicio, repetido con constancia, entrena al cerebro para </w:t>
      </w:r>
      <w:r w:rsidRPr="00F97E4C">
        <w:rPr>
          <w:rStyle w:val="Textoennegrita"/>
          <w:rFonts w:asciiTheme="majorHAnsi" w:hAnsiTheme="majorHAnsi" w:cstheme="majorHAnsi"/>
        </w:rPr>
        <w:t>reemplazar la autocrítica por autocompasión activa</w:t>
      </w:r>
      <w:r w:rsidRPr="00F97E4C">
        <w:rPr>
          <w:rFonts w:asciiTheme="majorHAnsi" w:hAnsiTheme="majorHAnsi" w:cstheme="majorHAnsi"/>
        </w:rPr>
        <w:t>, lo que reduce la ansiedad y mejora la motivación.</w:t>
      </w:r>
    </w:p>
    <w:p w14:paraId="790819F5" w14:textId="15938BDB" w:rsidR="00F97E4C" w:rsidRPr="00F97E4C" w:rsidRDefault="00F97E4C" w:rsidP="00F97E4C">
      <w:pPr>
        <w:pStyle w:val="Ttulo2"/>
        <w:rPr>
          <w:rFonts w:cstheme="majorHAnsi"/>
          <w:lang w:val="es-CO"/>
        </w:rPr>
      </w:pPr>
      <w:r w:rsidRPr="00F97E4C">
        <w:rPr>
          <w:rStyle w:val="Textoennegrita"/>
          <w:rFonts w:cstheme="majorHAnsi"/>
          <w:b w:val="0"/>
          <w:bCs w:val="0"/>
          <w:lang w:val="es-CO"/>
        </w:rPr>
        <w:t>Practicar la autocompasión, no la exigencia</w:t>
      </w:r>
    </w:p>
    <w:p w14:paraId="4F25E671" w14:textId="77777777" w:rsidR="00F97E4C" w:rsidRDefault="00F97E4C" w:rsidP="00F97E4C">
      <w:pPr>
        <w:pStyle w:val="NormalWeb"/>
        <w:jc w:val="both"/>
        <w:rPr>
          <w:rFonts w:asciiTheme="majorHAnsi" w:hAnsiTheme="majorHAnsi" w:cstheme="majorHAnsi"/>
        </w:rPr>
      </w:pPr>
      <w:r w:rsidRPr="00F97E4C">
        <w:rPr>
          <w:rFonts w:asciiTheme="majorHAnsi" w:hAnsiTheme="majorHAnsi" w:cstheme="majorHAnsi"/>
        </w:rPr>
        <w:lastRenderedPageBreak/>
        <w:t>Muchos pacientes creen que la autoexigencia extrema los mantiene en movimiento. En realidad, lo que los mantiene es el miedo a no valer.</w:t>
      </w:r>
    </w:p>
    <w:p w14:paraId="46D8CDEE" w14:textId="7C065F47"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La autocompasión no es indulgencia ni pasividad; es reconocer el dolor sin aumentar el sufrimiento con culpa.</w:t>
      </w:r>
    </w:p>
    <w:p w14:paraId="6BDF6DA4" w14:textId="77777777" w:rsidR="00F97E4C" w:rsidRDefault="00F97E4C" w:rsidP="00F97E4C">
      <w:pPr>
        <w:pStyle w:val="NormalWeb"/>
        <w:jc w:val="both"/>
        <w:rPr>
          <w:rStyle w:val="Textoennegrita"/>
          <w:rFonts w:asciiTheme="majorHAnsi" w:hAnsiTheme="majorHAnsi" w:cstheme="majorHAnsi"/>
        </w:rPr>
      </w:pPr>
      <w:r w:rsidRPr="00F97E4C">
        <w:rPr>
          <w:rStyle w:val="Textoennegrita"/>
          <w:rFonts w:asciiTheme="majorHAnsi" w:hAnsiTheme="majorHAnsi" w:cstheme="majorHAnsi"/>
        </w:rPr>
        <w:t>Ejercicio práctico:</w:t>
      </w:r>
    </w:p>
    <w:p w14:paraId="0660FBF5" w14:textId="757E24C3" w:rsidR="00F97E4C" w:rsidRDefault="00F97E4C" w:rsidP="00F97E4C">
      <w:pPr>
        <w:pStyle w:val="NormalWeb"/>
        <w:jc w:val="both"/>
        <w:rPr>
          <w:rFonts w:asciiTheme="majorHAnsi" w:hAnsiTheme="majorHAnsi" w:cstheme="majorHAnsi"/>
        </w:rPr>
      </w:pPr>
      <w:r w:rsidRPr="00F97E4C">
        <w:rPr>
          <w:rFonts w:asciiTheme="majorHAnsi" w:hAnsiTheme="majorHAnsi" w:cstheme="majorHAnsi"/>
        </w:rPr>
        <w:t>Imagina que un amigo atraviesa la misma situación que tú. ¿Qué le dirías? Escríbelo.</w:t>
      </w:r>
      <w:r w:rsidRPr="00F97E4C">
        <w:rPr>
          <w:rFonts w:asciiTheme="majorHAnsi" w:hAnsiTheme="majorHAnsi" w:cstheme="majorHAnsi"/>
        </w:rPr>
        <w:br/>
        <w:t>Ahora léelo en voz alta y repite esas mismas palabras dirigiéndolas hacia ti.</w:t>
      </w:r>
      <w:r w:rsidRPr="00F97E4C">
        <w:rPr>
          <w:rFonts w:asciiTheme="majorHAnsi" w:hAnsiTheme="majorHAnsi" w:cstheme="majorHAnsi"/>
        </w:rPr>
        <w:br/>
        <w:t>El cerebro no distingue entre la autocompasión y la compasión externa: ambas activan la corteza prefrontal y desactivan la amígdala, generando calma emocional y resiliencia.</w:t>
      </w:r>
    </w:p>
    <w:p w14:paraId="16C002FB" w14:textId="77777777" w:rsidR="00F97E4C" w:rsidRPr="00F97E4C" w:rsidRDefault="00F97E4C" w:rsidP="00F97E4C">
      <w:pPr>
        <w:pStyle w:val="NormalWeb"/>
        <w:jc w:val="both"/>
        <w:rPr>
          <w:rFonts w:asciiTheme="majorHAnsi" w:hAnsiTheme="majorHAnsi" w:cstheme="majorHAnsi"/>
        </w:rPr>
      </w:pPr>
    </w:p>
    <w:p w14:paraId="2F7CD54D" w14:textId="6E5BE46B" w:rsidR="00F97E4C" w:rsidRPr="00F97E4C" w:rsidRDefault="00F97E4C" w:rsidP="00F97E4C">
      <w:pPr>
        <w:pStyle w:val="Ttulo2"/>
        <w:rPr>
          <w:rFonts w:cstheme="majorHAnsi"/>
          <w:lang w:val="es-CO"/>
        </w:rPr>
      </w:pPr>
      <w:r w:rsidRPr="00F97E4C">
        <w:rPr>
          <w:rStyle w:val="Textoennegrita"/>
          <w:rFonts w:cstheme="majorHAnsi"/>
          <w:b w:val="0"/>
          <w:bCs w:val="0"/>
          <w:lang w:val="es-CO"/>
        </w:rPr>
        <w:t>Redefinir los logros y el éxito personal</w:t>
      </w:r>
    </w:p>
    <w:p w14:paraId="630FB274" w14:textId="77777777"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La baja autoestima suele estar sostenida por estándares imposibles. Creemos que solo valemos si logramos grandes metas, olvidando que el crecimiento se da en lo cotidiano.</w:t>
      </w:r>
    </w:p>
    <w:p w14:paraId="117A3C35" w14:textId="77777777" w:rsidR="00F97E4C" w:rsidRDefault="00F97E4C" w:rsidP="00F97E4C">
      <w:pPr>
        <w:pStyle w:val="NormalWeb"/>
        <w:jc w:val="both"/>
        <w:rPr>
          <w:rStyle w:val="Textoennegrita"/>
          <w:rFonts w:asciiTheme="majorHAnsi" w:hAnsiTheme="majorHAnsi" w:cstheme="majorHAnsi"/>
        </w:rPr>
      </w:pPr>
      <w:r w:rsidRPr="00F97E4C">
        <w:rPr>
          <w:rStyle w:val="Textoennegrita"/>
          <w:rFonts w:asciiTheme="majorHAnsi" w:hAnsiTheme="majorHAnsi" w:cstheme="majorHAnsi"/>
        </w:rPr>
        <w:t>Ejercicio práctico:</w:t>
      </w:r>
    </w:p>
    <w:p w14:paraId="1F504CFA" w14:textId="72ACF16C" w:rsidR="00F97E4C" w:rsidRDefault="00F97E4C" w:rsidP="00F97E4C">
      <w:pPr>
        <w:pStyle w:val="NormalWeb"/>
        <w:jc w:val="both"/>
        <w:rPr>
          <w:rFonts w:asciiTheme="majorHAnsi" w:hAnsiTheme="majorHAnsi" w:cstheme="majorHAnsi"/>
        </w:rPr>
      </w:pPr>
      <w:r w:rsidRPr="00F97E4C">
        <w:rPr>
          <w:rFonts w:asciiTheme="majorHAnsi" w:hAnsiTheme="majorHAnsi" w:cstheme="majorHAnsi"/>
        </w:rPr>
        <w:t>Cada noche, escribe tres acciones del día que representen un avance, por pequeño que sea: levantarte a tiempo, resolver un problema con calma, preparar una comida saludable.</w:t>
      </w:r>
      <w:r w:rsidRPr="00F97E4C">
        <w:rPr>
          <w:rFonts w:asciiTheme="majorHAnsi" w:hAnsiTheme="majorHAnsi" w:cstheme="majorHAnsi"/>
        </w:rPr>
        <w:br/>
        <w:t xml:space="preserve">Con el tiempo, este registro amplía la percepción de logro y </w:t>
      </w:r>
      <w:r w:rsidRPr="00F97E4C">
        <w:rPr>
          <w:rStyle w:val="Textoennegrita"/>
          <w:rFonts w:asciiTheme="majorHAnsi" w:hAnsiTheme="majorHAnsi" w:cstheme="majorHAnsi"/>
        </w:rPr>
        <w:t>refuerza el sistema dopaminérgico de recompensa</w:t>
      </w:r>
      <w:r w:rsidRPr="00F97E4C">
        <w:rPr>
          <w:rFonts w:asciiTheme="majorHAnsi" w:hAnsiTheme="majorHAnsi" w:cstheme="majorHAnsi"/>
        </w:rPr>
        <w:t>, responsable de la sensación de satisfacción.</w:t>
      </w:r>
    </w:p>
    <w:p w14:paraId="4D402AB3" w14:textId="77777777" w:rsidR="00F97E4C" w:rsidRPr="00F97E4C" w:rsidRDefault="00F97E4C" w:rsidP="00F97E4C">
      <w:pPr>
        <w:pStyle w:val="NormalWeb"/>
        <w:jc w:val="both"/>
        <w:rPr>
          <w:rFonts w:asciiTheme="majorHAnsi" w:hAnsiTheme="majorHAnsi" w:cstheme="majorHAnsi"/>
        </w:rPr>
      </w:pPr>
    </w:p>
    <w:p w14:paraId="66A5D1FC" w14:textId="5DA9B9EC" w:rsidR="00F97E4C" w:rsidRPr="00F97E4C" w:rsidRDefault="00F97E4C" w:rsidP="00F97E4C">
      <w:pPr>
        <w:pStyle w:val="Ttulo2"/>
        <w:rPr>
          <w:rFonts w:cstheme="majorHAnsi"/>
          <w:lang w:val="es-CO"/>
        </w:rPr>
      </w:pPr>
      <w:r w:rsidRPr="00F97E4C">
        <w:rPr>
          <w:rStyle w:val="Textoennegrita"/>
          <w:rFonts w:cstheme="majorHAnsi"/>
          <w:b w:val="0"/>
          <w:bCs w:val="0"/>
          <w:lang w:val="es-CO"/>
        </w:rPr>
        <w:t>Establecer límites sanos</w:t>
      </w:r>
    </w:p>
    <w:p w14:paraId="1143556B" w14:textId="77777777" w:rsidR="00F97E4C" w:rsidRDefault="00F97E4C" w:rsidP="00F97E4C">
      <w:pPr>
        <w:pStyle w:val="NormalWeb"/>
        <w:jc w:val="both"/>
        <w:rPr>
          <w:rFonts w:asciiTheme="majorHAnsi" w:hAnsiTheme="majorHAnsi" w:cstheme="majorHAnsi"/>
        </w:rPr>
      </w:pPr>
      <w:r w:rsidRPr="00F97E4C">
        <w:rPr>
          <w:rFonts w:asciiTheme="majorHAnsi" w:hAnsiTheme="majorHAnsi" w:cstheme="majorHAnsi"/>
        </w:rPr>
        <w:t>Decir “no” también es una forma de autoestima.</w:t>
      </w:r>
    </w:p>
    <w:p w14:paraId="02758F1C" w14:textId="5F30B0E7"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Cuando se establecen límites, el cerebro interpreta ese acto como una señal de protección y coherencia interna. Se libera oxitocina (que refuerza el sentido de seguridad) y se reduce la activación del eje del estrés.</w:t>
      </w:r>
    </w:p>
    <w:p w14:paraId="075BC238" w14:textId="77777777" w:rsidR="00F97E4C" w:rsidRDefault="00F97E4C" w:rsidP="00F97E4C">
      <w:pPr>
        <w:pStyle w:val="NormalWeb"/>
        <w:jc w:val="both"/>
        <w:rPr>
          <w:rStyle w:val="Textoennegrita"/>
          <w:rFonts w:asciiTheme="majorHAnsi" w:hAnsiTheme="majorHAnsi" w:cstheme="majorHAnsi"/>
        </w:rPr>
      </w:pPr>
      <w:r w:rsidRPr="00F97E4C">
        <w:rPr>
          <w:rStyle w:val="Textoennegrita"/>
          <w:rFonts w:asciiTheme="majorHAnsi" w:hAnsiTheme="majorHAnsi" w:cstheme="majorHAnsi"/>
        </w:rPr>
        <w:t>Ejercicio práctico:</w:t>
      </w:r>
    </w:p>
    <w:p w14:paraId="72FFE17D" w14:textId="66369B42"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Haz una lista de tres situaciones recientes en las que dijiste “sí” cuando querías decir “no”.</w:t>
      </w:r>
      <w:r w:rsidRPr="00F97E4C">
        <w:rPr>
          <w:rFonts w:asciiTheme="majorHAnsi" w:hAnsiTheme="majorHAnsi" w:cstheme="majorHAnsi"/>
        </w:rPr>
        <w:br/>
        <w:t>Analiza:</w:t>
      </w:r>
    </w:p>
    <w:p w14:paraId="5D7A5AB8" w14:textId="77777777" w:rsidR="00F97E4C" w:rsidRPr="00F97E4C" w:rsidRDefault="00F97E4C" w:rsidP="00F97E4C">
      <w:pPr>
        <w:pStyle w:val="NormalWeb"/>
        <w:numPr>
          <w:ilvl w:val="0"/>
          <w:numId w:val="31"/>
        </w:numPr>
        <w:jc w:val="both"/>
        <w:rPr>
          <w:rFonts w:asciiTheme="majorHAnsi" w:hAnsiTheme="majorHAnsi" w:cstheme="majorHAnsi"/>
        </w:rPr>
      </w:pPr>
      <w:r w:rsidRPr="00F97E4C">
        <w:rPr>
          <w:rFonts w:asciiTheme="majorHAnsi" w:hAnsiTheme="majorHAnsi" w:cstheme="majorHAnsi"/>
        </w:rPr>
        <w:lastRenderedPageBreak/>
        <w:t>¿Qué miedo había detrás de ese “sí”?</w:t>
      </w:r>
    </w:p>
    <w:p w14:paraId="1ECF9E41" w14:textId="77777777" w:rsidR="00F97E4C" w:rsidRDefault="00F97E4C" w:rsidP="00F97E4C">
      <w:pPr>
        <w:pStyle w:val="NormalWeb"/>
        <w:numPr>
          <w:ilvl w:val="0"/>
          <w:numId w:val="31"/>
        </w:numPr>
        <w:jc w:val="both"/>
        <w:rPr>
          <w:rFonts w:asciiTheme="majorHAnsi" w:hAnsiTheme="majorHAnsi" w:cstheme="majorHAnsi"/>
        </w:rPr>
      </w:pPr>
      <w:r w:rsidRPr="00F97E4C">
        <w:rPr>
          <w:rFonts w:asciiTheme="majorHAnsi" w:hAnsiTheme="majorHAnsi" w:cstheme="majorHAnsi"/>
        </w:rPr>
        <w:t>¿Qué habría pasado si hubieras dicho “no”?</w:t>
      </w:r>
    </w:p>
    <w:p w14:paraId="39F71B3D" w14:textId="0CAB32FC" w:rsidR="00F97E4C" w:rsidRPr="00F97E4C" w:rsidRDefault="00F97E4C" w:rsidP="00F97E4C">
      <w:pPr>
        <w:pStyle w:val="NormalWeb"/>
        <w:ind w:left="360"/>
        <w:jc w:val="both"/>
        <w:rPr>
          <w:rFonts w:asciiTheme="majorHAnsi" w:hAnsiTheme="majorHAnsi" w:cstheme="majorHAnsi"/>
        </w:rPr>
      </w:pPr>
      <w:r w:rsidRPr="00F97E4C">
        <w:rPr>
          <w:rFonts w:asciiTheme="majorHAnsi" w:hAnsiTheme="majorHAnsi" w:cstheme="majorHAnsi"/>
        </w:rPr>
        <w:t>Luego, elige una situación futura y ensaya una respuesta más asertiva.</w:t>
      </w:r>
      <w:r w:rsidRPr="00F97E4C">
        <w:rPr>
          <w:rFonts w:asciiTheme="majorHAnsi" w:hAnsiTheme="majorHAnsi" w:cstheme="majorHAnsi"/>
        </w:rPr>
        <w:br/>
        <w:t>Ejemplo: “Agradezco la invitación, pero hoy necesito descansar.”</w:t>
      </w:r>
    </w:p>
    <w:p w14:paraId="57DCB732" w14:textId="1E1325B9" w:rsidR="00F97E4C" w:rsidRPr="00F97E4C" w:rsidRDefault="00F97E4C" w:rsidP="00F97E4C">
      <w:pPr>
        <w:jc w:val="both"/>
        <w:rPr>
          <w:rFonts w:cstheme="majorHAnsi"/>
        </w:rPr>
      </w:pPr>
    </w:p>
    <w:p w14:paraId="496CD04E" w14:textId="2C2E1543" w:rsidR="00F97E4C" w:rsidRPr="00F97E4C" w:rsidRDefault="00F97E4C" w:rsidP="00F97E4C">
      <w:pPr>
        <w:pStyle w:val="Ttulo2"/>
        <w:rPr>
          <w:rFonts w:cstheme="majorHAnsi"/>
          <w:lang w:val="es-CO"/>
        </w:rPr>
      </w:pPr>
      <w:r w:rsidRPr="00F97E4C">
        <w:rPr>
          <w:rStyle w:val="Textoennegrita"/>
          <w:rFonts w:cstheme="majorHAnsi"/>
          <w:b w:val="0"/>
          <w:bCs w:val="0"/>
          <w:lang w:val="es-CO"/>
        </w:rPr>
        <w:t>Cuidar el cuerpo como reflejo del respeto propio</w:t>
      </w:r>
    </w:p>
    <w:p w14:paraId="36AD2140" w14:textId="77777777" w:rsidR="00F97E4C" w:rsidRDefault="00F97E4C" w:rsidP="00F97E4C">
      <w:pPr>
        <w:pStyle w:val="NormalWeb"/>
        <w:jc w:val="both"/>
        <w:rPr>
          <w:rFonts w:asciiTheme="majorHAnsi" w:hAnsiTheme="majorHAnsi" w:cstheme="majorHAnsi"/>
        </w:rPr>
      </w:pPr>
      <w:r w:rsidRPr="00F97E4C">
        <w:rPr>
          <w:rFonts w:asciiTheme="majorHAnsi" w:hAnsiTheme="majorHAnsi" w:cstheme="majorHAnsi"/>
        </w:rPr>
        <w:t>El cuerpo no es solo un vehículo físico; es también el espacio donde habita la autoestima.</w:t>
      </w:r>
      <w:r w:rsidRPr="00F97E4C">
        <w:rPr>
          <w:rFonts w:asciiTheme="majorHAnsi" w:hAnsiTheme="majorHAnsi" w:cstheme="majorHAnsi"/>
        </w:rPr>
        <w:br/>
        <w:t>Dormir bien, alimentarse con equilibrio, hacer ejercicio o descansar no son lujos: son declaraciones biológicas de autovaloración.</w:t>
      </w:r>
    </w:p>
    <w:p w14:paraId="6E8023B0" w14:textId="2AE159DC"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Cuando cuidamos el cuerpo, el cerebro libera endorfinas y serotonina, que fortalecen la estabilidad emocional.</w:t>
      </w:r>
    </w:p>
    <w:p w14:paraId="37004974" w14:textId="77777777" w:rsidR="00F97E4C" w:rsidRDefault="00F97E4C" w:rsidP="00F97E4C">
      <w:pPr>
        <w:pStyle w:val="NormalWeb"/>
        <w:jc w:val="both"/>
        <w:rPr>
          <w:rStyle w:val="Textoennegrita"/>
          <w:rFonts w:asciiTheme="majorHAnsi" w:hAnsiTheme="majorHAnsi" w:cstheme="majorHAnsi"/>
        </w:rPr>
      </w:pPr>
      <w:r w:rsidRPr="00F97E4C">
        <w:rPr>
          <w:rStyle w:val="Textoennegrita"/>
          <w:rFonts w:asciiTheme="majorHAnsi" w:hAnsiTheme="majorHAnsi" w:cstheme="majorHAnsi"/>
        </w:rPr>
        <w:t>Ejercicio práctico:</w:t>
      </w:r>
    </w:p>
    <w:p w14:paraId="44E61198" w14:textId="210EC34E"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Durante una semana, realiza un pequeño acto de autocuidado físico diario: caminar al aire libre, hidratarte más, darte un masaje o descansar sin culpa. Observa cómo cambia tu ánimo y energía.</w:t>
      </w:r>
    </w:p>
    <w:p w14:paraId="493DDB65" w14:textId="4E674AD9" w:rsidR="00F97E4C" w:rsidRPr="00F97E4C" w:rsidRDefault="00F97E4C" w:rsidP="00F97E4C">
      <w:pPr>
        <w:jc w:val="both"/>
        <w:rPr>
          <w:rFonts w:cstheme="majorHAnsi"/>
        </w:rPr>
      </w:pPr>
    </w:p>
    <w:p w14:paraId="65169019" w14:textId="7F5EED20" w:rsidR="00F97E4C" w:rsidRPr="00F97E4C" w:rsidRDefault="00F97E4C" w:rsidP="00F97E4C">
      <w:pPr>
        <w:pStyle w:val="Ttulo2"/>
        <w:rPr>
          <w:rFonts w:cstheme="majorHAnsi"/>
          <w:lang w:val="es-CO"/>
        </w:rPr>
      </w:pPr>
      <w:r w:rsidRPr="00F97E4C">
        <w:rPr>
          <w:rStyle w:val="Textoennegrita"/>
          <w:rFonts w:cstheme="majorHAnsi"/>
          <w:b w:val="0"/>
          <w:bCs w:val="0"/>
          <w:lang w:val="es-CO"/>
        </w:rPr>
        <w:t>Rodearse de vínculos nutritivos</w:t>
      </w:r>
    </w:p>
    <w:p w14:paraId="2DA30A31" w14:textId="77777777"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Las relaciones humanas son espejos. Una persona que constantemente se vincula con quienes la desvalorizan termina creyendo esas narrativas.</w:t>
      </w:r>
      <w:r w:rsidRPr="00F97E4C">
        <w:rPr>
          <w:rFonts w:asciiTheme="majorHAnsi" w:hAnsiTheme="majorHAnsi" w:cstheme="majorHAnsi"/>
        </w:rPr>
        <w:br/>
        <w:t>La autoestima florece en ambientes donde hay respeto, empatía y reciprocidad.</w:t>
      </w:r>
    </w:p>
    <w:p w14:paraId="7F407F6F" w14:textId="77777777" w:rsidR="00F97E4C" w:rsidRDefault="00F97E4C" w:rsidP="00F97E4C">
      <w:pPr>
        <w:pStyle w:val="NormalWeb"/>
        <w:jc w:val="both"/>
        <w:rPr>
          <w:rStyle w:val="Textoennegrita"/>
          <w:rFonts w:asciiTheme="majorHAnsi" w:hAnsiTheme="majorHAnsi" w:cstheme="majorHAnsi"/>
        </w:rPr>
      </w:pPr>
      <w:r w:rsidRPr="00F97E4C">
        <w:rPr>
          <w:rStyle w:val="Textoennegrita"/>
          <w:rFonts w:asciiTheme="majorHAnsi" w:hAnsiTheme="majorHAnsi" w:cstheme="majorHAnsi"/>
        </w:rPr>
        <w:t>Ejercicio práctico:</w:t>
      </w:r>
    </w:p>
    <w:p w14:paraId="62CABDFC" w14:textId="6865B7E3"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Haz dos columnas:</w:t>
      </w:r>
    </w:p>
    <w:p w14:paraId="16E751A1" w14:textId="77777777" w:rsidR="00F97E4C" w:rsidRPr="00F97E4C" w:rsidRDefault="00F97E4C" w:rsidP="00F97E4C">
      <w:pPr>
        <w:pStyle w:val="NormalWeb"/>
        <w:numPr>
          <w:ilvl w:val="0"/>
          <w:numId w:val="32"/>
        </w:numPr>
        <w:jc w:val="both"/>
        <w:rPr>
          <w:rFonts w:asciiTheme="majorHAnsi" w:hAnsiTheme="majorHAnsi" w:cstheme="majorHAnsi"/>
        </w:rPr>
      </w:pPr>
      <w:r w:rsidRPr="00F97E4C">
        <w:rPr>
          <w:rFonts w:asciiTheme="majorHAnsi" w:hAnsiTheme="majorHAnsi" w:cstheme="majorHAnsi"/>
        </w:rPr>
        <w:t>En la primera, anota las personas que te hacen sentir en paz después de verlas.</w:t>
      </w:r>
    </w:p>
    <w:p w14:paraId="4333423D" w14:textId="77777777" w:rsidR="00F97E4C" w:rsidRPr="00F97E4C" w:rsidRDefault="00F97E4C" w:rsidP="00F97E4C">
      <w:pPr>
        <w:pStyle w:val="NormalWeb"/>
        <w:numPr>
          <w:ilvl w:val="0"/>
          <w:numId w:val="32"/>
        </w:numPr>
        <w:jc w:val="both"/>
        <w:rPr>
          <w:rFonts w:asciiTheme="majorHAnsi" w:hAnsiTheme="majorHAnsi" w:cstheme="majorHAnsi"/>
        </w:rPr>
      </w:pPr>
      <w:r w:rsidRPr="00F97E4C">
        <w:rPr>
          <w:rFonts w:asciiTheme="majorHAnsi" w:hAnsiTheme="majorHAnsi" w:cstheme="majorHAnsi"/>
        </w:rPr>
        <w:t>En la segunda, las que te generan ansiedad, culpa o cansancio.</w:t>
      </w:r>
      <w:r w:rsidRPr="00F97E4C">
        <w:rPr>
          <w:rFonts w:asciiTheme="majorHAnsi" w:hAnsiTheme="majorHAnsi" w:cstheme="majorHAnsi"/>
        </w:rPr>
        <w:br/>
        <w:t>Evalúa: ¿con quién pasas más tiempo? Ajustar esa balanza es una forma silenciosa pero poderosa de fortalecer la autopercepción.</w:t>
      </w:r>
    </w:p>
    <w:p w14:paraId="2080F335" w14:textId="214C7554" w:rsidR="00F97E4C" w:rsidRPr="00F97E4C" w:rsidRDefault="00F97E4C" w:rsidP="00F97E4C">
      <w:pPr>
        <w:jc w:val="both"/>
        <w:rPr>
          <w:rFonts w:cstheme="majorHAnsi"/>
        </w:rPr>
      </w:pPr>
    </w:p>
    <w:p w14:paraId="0DFEF1F4" w14:textId="373715F6" w:rsidR="00F97E4C" w:rsidRPr="00F97E4C" w:rsidRDefault="00F97E4C" w:rsidP="00F97E4C">
      <w:pPr>
        <w:pStyle w:val="Ttulo2"/>
        <w:rPr>
          <w:rFonts w:cstheme="majorHAnsi"/>
          <w:lang w:val="es-CO"/>
        </w:rPr>
      </w:pPr>
      <w:r w:rsidRPr="00F97E4C">
        <w:rPr>
          <w:rStyle w:val="Textoennegrita"/>
          <w:rFonts w:cstheme="majorHAnsi"/>
          <w:b w:val="0"/>
          <w:bCs w:val="0"/>
          <w:lang w:val="es-CO"/>
        </w:rPr>
        <w:t>Actuar desde los valores personales</w:t>
      </w:r>
    </w:p>
    <w:p w14:paraId="0909A93A" w14:textId="77777777" w:rsidR="00F97E4C" w:rsidRDefault="00F97E4C" w:rsidP="00F97E4C">
      <w:pPr>
        <w:pStyle w:val="NormalWeb"/>
        <w:jc w:val="both"/>
        <w:rPr>
          <w:rFonts w:asciiTheme="majorHAnsi" w:hAnsiTheme="majorHAnsi" w:cstheme="majorHAnsi"/>
        </w:rPr>
      </w:pPr>
      <w:r w:rsidRPr="00F97E4C">
        <w:rPr>
          <w:rFonts w:asciiTheme="majorHAnsi" w:hAnsiTheme="majorHAnsi" w:cstheme="majorHAnsi"/>
        </w:rPr>
        <w:lastRenderedPageBreak/>
        <w:t>La autoestima se consolida cuando actuamos en coherencia con nuestros valores, no con las expectativas ajenas.</w:t>
      </w:r>
    </w:p>
    <w:p w14:paraId="0894CBE0" w14:textId="52ADDAA1"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Cada decisión congruente —por pequeña que sea— activa el circuito cerebral de recompensa y refuerza la sensación de integridad.</w:t>
      </w:r>
    </w:p>
    <w:p w14:paraId="603E76DE" w14:textId="77777777" w:rsidR="00F97E4C" w:rsidRDefault="00F97E4C" w:rsidP="00F97E4C">
      <w:pPr>
        <w:pStyle w:val="NormalWeb"/>
        <w:jc w:val="both"/>
        <w:rPr>
          <w:rStyle w:val="Textoennegrita"/>
          <w:rFonts w:asciiTheme="majorHAnsi" w:hAnsiTheme="majorHAnsi" w:cstheme="majorHAnsi"/>
        </w:rPr>
      </w:pPr>
      <w:r w:rsidRPr="00F97E4C">
        <w:rPr>
          <w:rStyle w:val="Textoennegrita"/>
          <w:rFonts w:asciiTheme="majorHAnsi" w:hAnsiTheme="majorHAnsi" w:cstheme="majorHAnsi"/>
        </w:rPr>
        <w:t>Ejercicio práctico:</w:t>
      </w:r>
    </w:p>
    <w:p w14:paraId="4F5E069F" w14:textId="5762F9A4"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Elige un valor central para ti (por ejemplo: honestidad, libertad, generosidad) y escribe una acción concreta para vivirlo esta semana.</w:t>
      </w:r>
      <w:r w:rsidRPr="00F97E4C">
        <w:rPr>
          <w:rFonts w:asciiTheme="majorHAnsi" w:hAnsiTheme="majorHAnsi" w:cstheme="majorHAnsi"/>
        </w:rPr>
        <w:br/>
        <w:t>Ejemplo: “Valoro la calma, así que hoy no responderé mensajes impulsivamente.”</w:t>
      </w:r>
    </w:p>
    <w:p w14:paraId="6530EF15" w14:textId="0B0FDE00" w:rsidR="00F97E4C" w:rsidRPr="00F97E4C" w:rsidRDefault="00F97E4C" w:rsidP="00F97E4C">
      <w:pPr>
        <w:jc w:val="both"/>
        <w:rPr>
          <w:rFonts w:cstheme="majorHAnsi"/>
        </w:rPr>
      </w:pPr>
    </w:p>
    <w:p w14:paraId="2150D2FF" w14:textId="55FAC3BA" w:rsidR="00F97E4C" w:rsidRPr="00F97E4C" w:rsidRDefault="00F97E4C" w:rsidP="00F97E4C">
      <w:pPr>
        <w:pStyle w:val="Ttulo2"/>
        <w:rPr>
          <w:rFonts w:cstheme="majorHAnsi"/>
          <w:lang w:val="es-CO"/>
        </w:rPr>
      </w:pPr>
      <w:r w:rsidRPr="00F97E4C">
        <w:rPr>
          <w:rStyle w:val="Textoennegrita"/>
          <w:rFonts w:cstheme="majorHAnsi"/>
          <w:b w:val="0"/>
          <w:bCs w:val="0"/>
          <w:lang w:val="es-CO"/>
        </w:rPr>
        <w:t>Reescribir la historia personal</w:t>
      </w:r>
    </w:p>
    <w:p w14:paraId="257FBA96" w14:textId="77777777" w:rsidR="00F97E4C" w:rsidRDefault="00F97E4C" w:rsidP="00F97E4C">
      <w:pPr>
        <w:pStyle w:val="NormalWeb"/>
        <w:jc w:val="both"/>
        <w:rPr>
          <w:rFonts w:asciiTheme="majorHAnsi" w:hAnsiTheme="majorHAnsi" w:cstheme="majorHAnsi"/>
        </w:rPr>
      </w:pPr>
      <w:r w:rsidRPr="00F97E4C">
        <w:rPr>
          <w:rFonts w:asciiTheme="majorHAnsi" w:hAnsiTheme="majorHAnsi" w:cstheme="majorHAnsi"/>
        </w:rPr>
        <w:t xml:space="preserve">Una parte esencial del trabajo terapéutico es </w:t>
      </w:r>
      <w:r w:rsidRPr="00F97E4C">
        <w:rPr>
          <w:rStyle w:val="Textoennegrita"/>
          <w:rFonts w:asciiTheme="majorHAnsi" w:hAnsiTheme="majorHAnsi" w:cstheme="majorHAnsi"/>
        </w:rPr>
        <w:t>cambiar la narrativa interna</w:t>
      </w:r>
      <w:r w:rsidRPr="00F97E4C">
        <w:rPr>
          <w:rFonts w:asciiTheme="majorHAnsi" w:hAnsiTheme="majorHAnsi" w:cstheme="majorHAnsi"/>
        </w:rPr>
        <w:t>.</w:t>
      </w:r>
      <w:r w:rsidRPr="00F97E4C">
        <w:rPr>
          <w:rFonts w:asciiTheme="majorHAnsi" w:hAnsiTheme="majorHAnsi" w:cstheme="majorHAnsi"/>
        </w:rPr>
        <w:br/>
        <w:t>La autoestima baja suele basarse en historias pasadas de rechazo o fracaso que se repiten mentalmente hasta parecer verdades.</w:t>
      </w:r>
    </w:p>
    <w:p w14:paraId="34BB365C" w14:textId="3025CB95"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Reescribir no es negar el pasado, sino reinterpretarlo con perspectiva.</w:t>
      </w:r>
    </w:p>
    <w:p w14:paraId="1D804AE0" w14:textId="77777777" w:rsidR="00F97E4C" w:rsidRDefault="00F97E4C" w:rsidP="00F97E4C">
      <w:pPr>
        <w:pStyle w:val="NormalWeb"/>
        <w:jc w:val="both"/>
        <w:rPr>
          <w:rStyle w:val="Textoennegrita"/>
          <w:rFonts w:asciiTheme="majorHAnsi" w:hAnsiTheme="majorHAnsi" w:cstheme="majorHAnsi"/>
        </w:rPr>
      </w:pPr>
      <w:r w:rsidRPr="00F97E4C">
        <w:rPr>
          <w:rStyle w:val="Textoennegrita"/>
          <w:rFonts w:asciiTheme="majorHAnsi" w:hAnsiTheme="majorHAnsi" w:cstheme="majorHAnsi"/>
        </w:rPr>
        <w:t>Ejercicio práctico:</w:t>
      </w:r>
    </w:p>
    <w:p w14:paraId="0D214A55" w14:textId="5DC5365C"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Escribe un recuerdo que te haya hecho sentir menos valioso. Luego, vuelve a escribirlo como lo harías si fueras tu propio terapeuta: con empatía, comprensión y mirada de crecimiento.</w:t>
      </w:r>
      <w:r w:rsidRPr="00F97E4C">
        <w:rPr>
          <w:rFonts w:asciiTheme="majorHAnsi" w:hAnsiTheme="majorHAnsi" w:cstheme="majorHAnsi"/>
        </w:rPr>
        <w:br/>
        <w:t>Ejemplo:</w:t>
      </w:r>
    </w:p>
    <w:p w14:paraId="512D495D" w14:textId="77777777" w:rsidR="00F97E4C" w:rsidRPr="00F97E4C" w:rsidRDefault="00F97E4C" w:rsidP="00F97E4C">
      <w:pPr>
        <w:pStyle w:val="NormalWeb"/>
        <w:numPr>
          <w:ilvl w:val="0"/>
          <w:numId w:val="33"/>
        </w:numPr>
        <w:jc w:val="both"/>
        <w:rPr>
          <w:rFonts w:asciiTheme="majorHAnsi" w:hAnsiTheme="majorHAnsi" w:cstheme="majorHAnsi"/>
        </w:rPr>
      </w:pPr>
      <w:r w:rsidRPr="00F97E4C">
        <w:rPr>
          <w:rFonts w:asciiTheme="majorHAnsi" w:hAnsiTheme="majorHAnsi" w:cstheme="majorHAnsi"/>
        </w:rPr>
        <w:t>Versión antigua: “Siempre fui el que fracasaba en todo.”</w:t>
      </w:r>
    </w:p>
    <w:p w14:paraId="51644E40" w14:textId="77777777" w:rsidR="00F97E4C" w:rsidRPr="00F97E4C" w:rsidRDefault="00F97E4C" w:rsidP="00F97E4C">
      <w:pPr>
        <w:pStyle w:val="NormalWeb"/>
        <w:numPr>
          <w:ilvl w:val="0"/>
          <w:numId w:val="33"/>
        </w:numPr>
        <w:jc w:val="both"/>
        <w:rPr>
          <w:rFonts w:asciiTheme="majorHAnsi" w:hAnsiTheme="majorHAnsi" w:cstheme="majorHAnsi"/>
        </w:rPr>
      </w:pPr>
      <w:r w:rsidRPr="00F97E4C">
        <w:rPr>
          <w:rFonts w:asciiTheme="majorHAnsi" w:hAnsiTheme="majorHAnsi" w:cstheme="majorHAnsi"/>
        </w:rPr>
        <w:t>Versión nueva: “Tuve muchas dificultades, pero también aprendí a perseverar y ahora puedo ver cuánto he crecido.”</w:t>
      </w:r>
    </w:p>
    <w:p w14:paraId="101AC272" w14:textId="34FFEAB9" w:rsidR="00F97E4C" w:rsidRPr="00F97E4C" w:rsidRDefault="00F97E4C" w:rsidP="00F97E4C">
      <w:pPr>
        <w:jc w:val="both"/>
        <w:rPr>
          <w:rFonts w:cstheme="majorHAnsi"/>
        </w:rPr>
      </w:pPr>
    </w:p>
    <w:p w14:paraId="6DA2570B" w14:textId="19C427D5" w:rsidR="00F97E4C" w:rsidRPr="00F97E4C" w:rsidRDefault="00F97E4C" w:rsidP="00F97E4C">
      <w:pPr>
        <w:pStyle w:val="Ttulo2"/>
        <w:rPr>
          <w:rFonts w:cstheme="majorHAnsi"/>
          <w:lang w:val="es-CO"/>
        </w:rPr>
      </w:pPr>
      <w:r w:rsidRPr="00F97E4C">
        <w:rPr>
          <w:rStyle w:val="Textoennegrita"/>
          <w:rFonts w:cstheme="majorHAnsi"/>
          <w:b w:val="0"/>
          <w:bCs w:val="0"/>
          <w:lang w:val="es-CO"/>
        </w:rPr>
        <w:t>Cultivar la gratitud y el presente</w:t>
      </w:r>
    </w:p>
    <w:p w14:paraId="4914E3E6" w14:textId="77777777" w:rsidR="00F97E4C" w:rsidRDefault="00F97E4C" w:rsidP="00F97E4C">
      <w:pPr>
        <w:pStyle w:val="NormalWeb"/>
        <w:jc w:val="both"/>
        <w:rPr>
          <w:rFonts w:asciiTheme="majorHAnsi" w:hAnsiTheme="majorHAnsi" w:cstheme="majorHAnsi"/>
        </w:rPr>
      </w:pPr>
      <w:r w:rsidRPr="00F97E4C">
        <w:rPr>
          <w:rFonts w:asciiTheme="majorHAnsi" w:hAnsiTheme="majorHAnsi" w:cstheme="majorHAnsi"/>
        </w:rPr>
        <w:t>La gratitud no es ingenuidad, es una herramienta psicológica que ayuda al cerebro a enfocarse en lo que sí funciona.</w:t>
      </w:r>
    </w:p>
    <w:p w14:paraId="07F233B7" w14:textId="4177DD13"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Aumenta la liberación de dopamina y oxitocina, mejorando el estado de ánimo y la conexión social.</w:t>
      </w:r>
    </w:p>
    <w:p w14:paraId="0C189F00" w14:textId="77777777" w:rsidR="00F97E4C" w:rsidRDefault="00F97E4C" w:rsidP="00F97E4C">
      <w:pPr>
        <w:pStyle w:val="NormalWeb"/>
        <w:jc w:val="both"/>
        <w:rPr>
          <w:rStyle w:val="Textoennegrita"/>
          <w:rFonts w:asciiTheme="majorHAnsi" w:hAnsiTheme="majorHAnsi" w:cstheme="majorHAnsi"/>
        </w:rPr>
      </w:pPr>
      <w:r w:rsidRPr="00F97E4C">
        <w:rPr>
          <w:rStyle w:val="Textoennegrita"/>
          <w:rFonts w:asciiTheme="majorHAnsi" w:hAnsiTheme="majorHAnsi" w:cstheme="majorHAnsi"/>
        </w:rPr>
        <w:lastRenderedPageBreak/>
        <w:t>Ejercicio práctico:</w:t>
      </w:r>
    </w:p>
    <w:p w14:paraId="71B6AA8D" w14:textId="2798858A" w:rsidR="00F97E4C" w:rsidRPr="00F97E4C" w:rsidRDefault="00F97E4C" w:rsidP="00F97E4C">
      <w:pPr>
        <w:pStyle w:val="NormalWeb"/>
        <w:jc w:val="both"/>
        <w:rPr>
          <w:rFonts w:asciiTheme="majorHAnsi" w:hAnsiTheme="majorHAnsi" w:cstheme="majorHAnsi"/>
        </w:rPr>
      </w:pPr>
      <w:r w:rsidRPr="00F97E4C">
        <w:rPr>
          <w:rFonts w:asciiTheme="majorHAnsi" w:hAnsiTheme="majorHAnsi" w:cstheme="majorHAnsi"/>
        </w:rPr>
        <w:t>Cada mañana, escribe tres cosas por las que te sientas agradecido, sin importar lo pequeñas que sean. Con el tiempo, notarás que la mente se entrena para buscar lo positivo incluso en los días difíciles.</w:t>
      </w:r>
    </w:p>
    <w:p w14:paraId="7C7871FA" w14:textId="77777777" w:rsidR="00F97E4C" w:rsidRDefault="00F97E4C" w:rsidP="00F97E4C">
      <w:pPr>
        <w:rPr>
          <w:rStyle w:val="Textoennegrita"/>
          <w:rFonts w:cstheme="majorHAnsi"/>
          <w:b w:val="0"/>
          <w:bCs w:val="0"/>
          <w:color w:val="134163" w:themeColor="accent2" w:themeShade="80"/>
          <w:spacing w:val="15"/>
          <w:lang w:val="es-CO"/>
        </w:rPr>
      </w:pPr>
    </w:p>
    <w:p w14:paraId="05E24AC6" w14:textId="01F3AE75" w:rsidR="00794F6E" w:rsidRPr="004112AA" w:rsidRDefault="00794F6E" w:rsidP="00F97E4C">
      <w:pPr>
        <w:pStyle w:val="Ttulo1"/>
        <w:rPr>
          <w:lang w:val="es-CO"/>
        </w:rPr>
      </w:pPr>
      <w:r w:rsidRPr="004112AA">
        <w:rPr>
          <w:rStyle w:val="Textoennegrita"/>
          <w:rFonts w:cstheme="majorHAnsi"/>
          <w:b w:val="0"/>
          <w:bCs w:val="0"/>
          <w:color w:val="134163" w:themeColor="accent2" w:themeShade="80"/>
          <w:spacing w:val="15"/>
          <w:lang w:val="es-CO"/>
        </w:rPr>
        <w:t>Conclusión</w:t>
      </w:r>
    </w:p>
    <w:p w14:paraId="555B48E6" w14:textId="77777777" w:rsidR="00794F6E" w:rsidRPr="00151399" w:rsidRDefault="00794F6E" w:rsidP="00151399">
      <w:pPr>
        <w:pStyle w:val="NormalWeb"/>
        <w:jc w:val="both"/>
        <w:rPr>
          <w:rFonts w:asciiTheme="majorHAnsi" w:hAnsiTheme="majorHAnsi" w:cstheme="majorHAnsi"/>
        </w:rPr>
      </w:pPr>
      <w:r w:rsidRPr="00151399">
        <w:rPr>
          <w:rFonts w:asciiTheme="majorHAnsi" w:hAnsiTheme="majorHAnsi" w:cstheme="majorHAnsi"/>
        </w:rPr>
        <w:t xml:space="preserve">La autoestima es un </w:t>
      </w:r>
      <w:r w:rsidRPr="00151399">
        <w:rPr>
          <w:rStyle w:val="Textoennegrita"/>
          <w:rFonts w:asciiTheme="majorHAnsi" w:hAnsiTheme="majorHAnsi" w:cstheme="majorHAnsi"/>
        </w:rPr>
        <w:t>puente entre lo biológico y lo psicológico</w:t>
      </w:r>
      <w:r w:rsidRPr="00151399">
        <w:rPr>
          <w:rFonts w:asciiTheme="majorHAnsi" w:hAnsiTheme="majorHAnsi" w:cstheme="majorHAnsi"/>
        </w:rPr>
        <w:t xml:space="preserve">. Se nutre de la historia de vida, la neuroquímica cerebral, las relaciones sociales y la narrativa interna. No se trata de una meta estática, sino de un </w:t>
      </w:r>
      <w:r w:rsidRPr="00151399">
        <w:rPr>
          <w:rStyle w:val="Textoennegrita"/>
          <w:rFonts w:asciiTheme="majorHAnsi" w:hAnsiTheme="majorHAnsi" w:cstheme="majorHAnsi"/>
        </w:rPr>
        <w:t>proceso en permanente construcción</w:t>
      </w:r>
      <w:r w:rsidRPr="00151399">
        <w:rPr>
          <w:rFonts w:asciiTheme="majorHAnsi" w:hAnsiTheme="majorHAnsi" w:cstheme="majorHAnsi"/>
        </w:rPr>
        <w:t>.</w:t>
      </w:r>
    </w:p>
    <w:p w14:paraId="2A087786" w14:textId="77777777" w:rsidR="00794F6E" w:rsidRPr="00151399" w:rsidRDefault="00794F6E" w:rsidP="00151399">
      <w:pPr>
        <w:pStyle w:val="NormalWeb"/>
        <w:jc w:val="both"/>
        <w:rPr>
          <w:rFonts w:asciiTheme="majorHAnsi" w:hAnsiTheme="majorHAnsi" w:cstheme="majorHAnsi"/>
        </w:rPr>
      </w:pPr>
      <w:r w:rsidRPr="00151399">
        <w:rPr>
          <w:rFonts w:asciiTheme="majorHAnsi" w:hAnsiTheme="majorHAnsi" w:cstheme="majorHAnsi"/>
        </w:rPr>
        <w:t>En la consulta clínica, abordar la autoestima con profundidad y sensibilidad no solo permite tratar síntomas, sino abrir un camino hacia la autonomía, la resiliencia y la salud integral del paciente.</w:t>
      </w:r>
    </w:p>
    <w:p w14:paraId="5E984B2D" w14:textId="22105426" w:rsidR="00FF1F2B" w:rsidRPr="00CA5CF8" w:rsidRDefault="00794F6E" w:rsidP="00CA5CF8">
      <w:pPr>
        <w:pStyle w:val="NormalWeb"/>
        <w:jc w:val="both"/>
        <w:rPr>
          <w:rFonts w:asciiTheme="majorHAnsi" w:hAnsiTheme="majorHAnsi" w:cstheme="majorHAnsi"/>
        </w:rPr>
      </w:pPr>
      <w:r w:rsidRPr="00151399">
        <w:rPr>
          <w:rFonts w:asciiTheme="majorHAnsi" w:hAnsiTheme="majorHAnsi" w:cstheme="majorHAnsi"/>
        </w:rPr>
        <w:t xml:space="preserve">El reto para pacientes y profesionales no es aspirar a una autoestima perfecta, sino a una autoestima </w:t>
      </w:r>
      <w:r w:rsidRPr="00151399">
        <w:rPr>
          <w:rStyle w:val="Textoennegrita"/>
          <w:rFonts w:asciiTheme="majorHAnsi" w:hAnsiTheme="majorHAnsi" w:cstheme="majorHAnsi"/>
        </w:rPr>
        <w:t>auténtica, flexible y compasiva</w:t>
      </w:r>
      <w:r w:rsidRPr="00151399">
        <w:rPr>
          <w:rFonts w:asciiTheme="majorHAnsi" w:hAnsiTheme="majorHAnsi" w:cstheme="majorHAnsi"/>
        </w:rPr>
        <w:t>, que permita sostenerse incluso en la fragilidad.</w:t>
      </w:r>
    </w:p>
    <w:sectPr w:rsidR="00FF1F2B" w:rsidRPr="00CA5CF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2052A5F"/>
    <w:multiLevelType w:val="multilevel"/>
    <w:tmpl w:val="4CF6E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535AC7"/>
    <w:multiLevelType w:val="multilevel"/>
    <w:tmpl w:val="A6C2D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9A82C97"/>
    <w:multiLevelType w:val="multilevel"/>
    <w:tmpl w:val="A90EF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12D23E0"/>
    <w:multiLevelType w:val="multilevel"/>
    <w:tmpl w:val="F83CAD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2E76B41"/>
    <w:multiLevelType w:val="multilevel"/>
    <w:tmpl w:val="BFE68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013730"/>
    <w:multiLevelType w:val="multilevel"/>
    <w:tmpl w:val="C72217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71C1BB2"/>
    <w:multiLevelType w:val="multilevel"/>
    <w:tmpl w:val="657E2F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A8B5E1E"/>
    <w:multiLevelType w:val="multilevel"/>
    <w:tmpl w:val="C67C2F8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7" w15:restartNumberingAfterBreak="0">
    <w:nsid w:val="2BDC59A2"/>
    <w:multiLevelType w:val="multilevel"/>
    <w:tmpl w:val="EDECF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AF7862"/>
    <w:multiLevelType w:val="multilevel"/>
    <w:tmpl w:val="45005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14513C"/>
    <w:multiLevelType w:val="multilevel"/>
    <w:tmpl w:val="765E85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81B3185"/>
    <w:multiLevelType w:val="multilevel"/>
    <w:tmpl w:val="0A98D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93721A1"/>
    <w:multiLevelType w:val="multilevel"/>
    <w:tmpl w:val="8D0C7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E3B0FB1"/>
    <w:multiLevelType w:val="multilevel"/>
    <w:tmpl w:val="37A29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180E27"/>
    <w:multiLevelType w:val="multilevel"/>
    <w:tmpl w:val="3000D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0F07B7"/>
    <w:multiLevelType w:val="multilevel"/>
    <w:tmpl w:val="7364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5671BD2"/>
    <w:multiLevelType w:val="multilevel"/>
    <w:tmpl w:val="1CF89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AC47D1"/>
    <w:multiLevelType w:val="multilevel"/>
    <w:tmpl w:val="BB30B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D2E0145"/>
    <w:multiLevelType w:val="multilevel"/>
    <w:tmpl w:val="9F04C9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EEF3923"/>
    <w:multiLevelType w:val="multilevel"/>
    <w:tmpl w:val="856C0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1721DB2"/>
    <w:multiLevelType w:val="multilevel"/>
    <w:tmpl w:val="DF161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8A84BF9"/>
    <w:multiLevelType w:val="multilevel"/>
    <w:tmpl w:val="AB0A4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32363E7"/>
    <w:multiLevelType w:val="multilevel"/>
    <w:tmpl w:val="DEA4D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D144018"/>
    <w:multiLevelType w:val="multilevel"/>
    <w:tmpl w:val="58205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1925144">
    <w:abstractNumId w:val="8"/>
  </w:num>
  <w:num w:numId="2" w16cid:durableId="900336518">
    <w:abstractNumId w:val="6"/>
  </w:num>
  <w:num w:numId="3" w16cid:durableId="1680690517">
    <w:abstractNumId w:val="5"/>
  </w:num>
  <w:num w:numId="4" w16cid:durableId="36046874">
    <w:abstractNumId w:val="4"/>
  </w:num>
  <w:num w:numId="5" w16cid:durableId="10383009">
    <w:abstractNumId w:val="7"/>
  </w:num>
  <w:num w:numId="6" w16cid:durableId="1238785714">
    <w:abstractNumId w:val="3"/>
  </w:num>
  <w:num w:numId="7" w16cid:durableId="1034842036">
    <w:abstractNumId w:val="2"/>
  </w:num>
  <w:num w:numId="8" w16cid:durableId="654921161">
    <w:abstractNumId w:val="1"/>
  </w:num>
  <w:num w:numId="9" w16cid:durableId="2008315242">
    <w:abstractNumId w:val="0"/>
  </w:num>
  <w:num w:numId="10" w16cid:durableId="367460382">
    <w:abstractNumId w:val="29"/>
  </w:num>
  <w:num w:numId="11" w16cid:durableId="741802334">
    <w:abstractNumId w:val="21"/>
  </w:num>
  <w:num w:numId="12" w16cid:durableId="164711415">
    <w:abstractNumId w:val="26"/>
  </w:num>
  <w:num w:numId="13" w16cid:durableId="1059279852">
    <w:abstractNumId w:val="9"/>
  </w:num>
  <w:num w:numId="14" w16cid:durableId="1559971975">
    <w:abstractNumId w:val="24"/>
  </w:num>
  <w:num w:numId="15" w16cid:durableId="866407787">
    <w:abstractNumId w:val="19"/>
  </w:num>
  <w:num w:numId="16" w16cid:durableId="2032687153">
    <w:abstractNumId w:val="15"/>
  </w:num>
  <w:num w:numId="17" w16cid:durableId="1884755087">
    <w:abstractNumId w:val="11"/>
  </w:num>
  <w:num w:numId="18" w16cid:durableId="629290748">
    <w:abstractNumId w:val="30"/>
  </w:num>
  <w:num w:numId="19" w16cid:durableId="9064499">
    <w:abstractNumId w:val="14"/>
  </w:num>
  <w:num w:numId="20" w16cid:durableId="47460079">
    <w:abstractNumId w:val="31"/>
  </w:num>
  <w:num w:numId="21" w16cid:durableId="1257909568">
    <w:abstractNumId w:val="23"/>
  </w:num>
  <w:num w:numId="22" w16cid:durableId="1622805836">
    <w:abstractNumId w:val="12"/>
  </w:num>
  <w:num w:numId="23" w16cid:durableId="674380090">
    <w:abstractNumId w:val="22"/>
  </w:num>
  <w:num w:numId="24" w16cid:durableId="915286115">
    <w:abstractNumId w:val="20"/>
  </w:num>
  <w:num w:numId="25" w16cid:durableId="526410254">
    <w:abstractNumId w:val="10"/>
  </w:num>
  <w:num w:numId="26" w16cid:durableId="1031758401">
    <w:abstractNumId w:val="32"/>
  </w:num>
  <w:num w:numId="27" w16cid:durableId="1105341675">
    <w:abstractNumId w:val="16"/>
  </w:num>
  <w:num w:numId="28" w16cid:durableId="1237473650">
    <w:abstractNumId w:val="27"/>
  </w:num>
  <w:num w:numId="29" w16cid:durableId="1444299801">
    <w:abstractNumId w:val="13"/>
  </w:num>
  <w:num w:numId="30" w16cid:durableId="526454973">
    <w:abstractNumId w:val="18"/>
  </w:num>
  <w:num w:numId="31" w16cid:durableId="508446562">
    <w:abstractNumId w:val="25"/>
  </w:num>
  <w:num w:numId="32" w16cid:durableId="1638681670">
    <w:abstractNumId w:val="17"/>
  </w:num>
  <w:num w:numId="33" w16cid:durableId="50652814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23D2"/>
    <w:rsid w:val="00034616"/>
    <w:rsid w:val="0006063C"/>
    <w:rsid w:val="0015074B"/>
    <w:rsid w:val="00151399"/>
    <w:rsid w:val="00180996"/>
    <w:rsid w:val="001C1338"/>
    <w:rsid w:val="002738D1"/>
    <w:rsid w:val="0029639D"/>
    <w:rsid w:val="00315DBC"/>
    <w:rsid w:val="00326F90"/>
    <w:rsid w:val="003541C1"/>
    <w:rsid w:val="00372504"/>
    <w:rsid w:val="004112AA"/>
    <w:rsid w:val="0051039C"/>
    <w:rsid w:val="00673807"/>
    <w:rsid w:val="006D3517"/>
    <w:rsid w:val="00794F6E"/>
    <w:rsid w:val="00824CEA"/>
    <w:rsid w:val="008274B3"/>
    <w:rsid w:val="009210B8"/>
    <w:rsid w:val="00A813D0"/>
    <w:rsid w:val="00AA1D8D"/>
    <w:rsid w:val="00AC5E14"/>
    <w:rsid w:val="00AF2770"/>
    <w:rsid w:val="00B47730"/>
    <w:rsid w:val="00C32CCE"/>
    <w:rsid w:val="00CA5CF8"/>
    <w:rsid w:val="00CB0664"/>
    <w:rsid w:val="00CD27EB"/>
    <w:rsid w:val="00D014E4"/>
    <w:rsid w:val="00EA09FB"/>
    <w:rsid w:val="00F97E4C"/>
    <w:rsid w:val="00FC693F"/>
    <w:rsid w:val="00FF1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CF8BF2"/>
  <w14:defaultImageDpi w14:val="300"/>
  <w15:docId w15:val="{A7C9E831-FCD6-9D4C-8933-0E3BC1077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4F6E"/>
  </w:style>
  <w:style w:type="paragraph" w:styleId="Ttulo1">
    <w:name w:val="heading 1"/>
    <w:basedOn w:val="Normal"/>
    <w:next w:val="Normal"/>
    <w:link w:val="Ttulo1Car"/>
    <w:uiPriority w:val="9"/>
    <w:qFormat/>
    <w:rsid w:val="00794F6E"/>
    <w:pPr>
      <w:pBdr>
        <w:bottom w:val="thinThickSmallGap" w:sz="12" w:space="1" w:color="1C6194" w:themeColor="accent2" w:themeShade="BF"/>
      </w:pBdr>
      <w:spacing w:before="400"/>
      <w:jc w:val="center"/>
      <w:outlineLvl w:val="0"/>
    </w:pPr>
    <w:rPr>
      <w:caps/>
      <w:color w:val="134163" w:themeColor="accent2" w:themeShade="80"/>
      <w:spacing w:val="20"/>
      <w:sz w:val="28"/>
      <w:szCs w:val="28"/>
    </w:rPr>
  </w:style>
  <w:style w:type="paragraph" w:styleId="Ttulo2">
    <w:name w:val="heading 2"/>
    <w:basedOn w:val="Normal"/>
    <w:next w:val="Normal"/>
    <w:link w:val="Ttulo2Car"/>
    <w:uiPriority w:val="9"/>
    <w:unhideWhenUsed/>
    <w:qFormat/>
    <w:rsid w:val="00794F6E"/>
    <w:pPr>
      <w:pBdr>
        <w:bottom w:val="single" w:sz="4" w:space="1" w:color="134162" w:themeColor="accent2" w:themeShade="7F"/>
      </w:pBdr>
      <w:spacing w:before="400"/>
      <w:jc w:val="center"/>
      <w:outlineLvl w:val="1"/>
    </w:pPr>
    <w:rPr>
      <w:caps/>
      <w:color w:val="134163" w:themeColor="accent2" w:themeShade="80"/>
      <w:spacing w:val="15"/>
      <w:sz w:val="24"/>
      <w:szCs w:val="24"/>
    </w:rPr>
  </w:style>
  <w:style w:type="paragraph" w:styleId="Ttulo3">
    <w:name w:val="heading 3"/>
    <w:basedOn w:val="Normal"/>
    <w:next w:val="Normal"/>
    <w:link w:val="Ttulo3Car"/>
    <w:uiPriority w:val="9"/>
    <w:unhideWhenUsed/>
    <w:qFormat/>
    <w:rsid w:val="00794F6E"/>
    <w:pPr>
      <w:pBdr>
        <w:top w:val="dotted" w:sz="4" w:space="1" w:color="134162" w:themeColor="accent2" w:themeShade="7F"/>
        <w:bottom w:val="dotted" w:sz="4" w:space="1" w:color="134162" w:themeColor="accent2" w:themeShade="7F"/>
      </w:pBdr>
      <w:spacing w:before="300"/>
      <w:jc w:val="center"/>
      <w:outlineLvl w:val="2"/>
    </w:pPr>
    <w:rPr>
      <w:caps/>
      <w:color w:val="134162" w:themeColor="accent2" w:themeShade="7F"/>
      <w:sz w:val="24"/>
      <w:szCs w:val="24"/>
    </w:rPr>
  </w:style>
  <w:style w:type="paragraph" w:styleId="Ttulo4">
    <w:name w:val="heading 4"/>
    <w:basedOn w:val="Normal"/>
    <w:next w:val="Normal"/>
    <w:link w:val="Ttulo4Car"/>
    <w:uiPriority w:val="9"/>
    <w:unhideWhenUsed/>
    <w:qFormat/>
    <w:rsid w:val="00794F6E"/>
    <w:pPr>
      <w:pBdr>
        <w:bottom w:val="dotted" w:sz="4" w:space="1" w:color="1C6194" w:themeColor="accent2" w:themeShade="BF"/>
      </w:pBdr>
      <w:spacing w:after="120"/>
      <w:jc w:val="center"/>
      <w:outlineLvl w:val="3"/>
    </w:pPr>
    <w:rPr>
      <w:caps/>
      <w:color w:val="134162" w:themeColor="accent2" w:themeShade="7F"/>
      <w:spacing w:val="10"/>
    </w:rPr>
  </w:style>
  <w:style w:type="paragraph" w:styleId="Ttulo5">
    <w:name w:val="heading 5"/>
    <w:basedOn w:val="Normal"/>
    <w:next w:val="Normal"/>
    <w:link w:val="Ttulo5Car"/>
    <w:uiPriority w:val="9"/>
    <w:unhideWhenUsed/>
    <w:qFormat/>
    <w:rsid w:val="00794F6E"/>
    <w:pPr>
      <w:spacing w:before="320" w:after="120"/>
      <w:jc w:val="center"/>
      <w:outlineLvl w:val="4"/>
    </w:pPr>
    <w:rPr>
      <w:caps/>
      <w:color w:val="134162" w:themeColor="accent2" w:themeShade="7F"/>
      <w:spacing w:val="10"/>
    </w:rPr>
  </w:style>
  <w:style w:type="paragraph" w:styleId="Ttulo6">
    <w:name w:val="heading 6"/>
    <w:basedOn w:val="Normal"/>
    <w:next w:val="Normal"/>
    <w:link w:val="Ttulo6Car"/>
    <w:uiPriority w:val="9"/>
    <w:semiHidden/>
    <w:unhideWhenUsed/>
    <w:qFormat/>
    <w:rsid w:val="00794F6E"/>
    <w:pPr>
      <w:spacing w:after="120"/>
      <w:jc w:val="center"/>
      <w:outlineLvl w:val="5"/>
    </w:pPr>
    <w:rPr>
      <w:caps/>
      <w:color w:val="1C6194" w:themeColor="accent2" w:themeShade="BF"/>
      <w:spacing w:val="10"/>
    </w:rPr>
  </w:style>
  <w:style w:type="paragraph" w:styleId="Ttulo7">
    <w:name w:val="heading 7"/>
    <w:basedOn w:val="Normal"/>
    <w:next w:val="Normal"/>
    <w:link w:val="Ttulo7Car"/>
    <w:uiPriority w:val="9"/>
    <w:semiHidden/>
    <w:unhideWhenUsed/>
    <w:qFormat/>
    <w:rsid w:val="00794F6E"/>
    <w:pPr>
      <w:spacing w:after="120"/>
      <w:jc w:val="center"/>
      <w:outlineLvl w:val="6"/>
    </w:pPr>
    <w:rPr>
      <w:i/>
      <w:iCs/>
      <w:caps/>
      <w:color w:val="1C6194" w:themeColor="accent2" w:themeShade="BF"/>
      <w:spacing w:val="10"/>
    </w:rPr>
  </w:style>
  <w:style w:type="paragraph" w:styleId="Ttulo8">
    <w:name w:val="heading 8"/>
    <w:basedOn w:val="Normal"/>
    <w:next w:val="Normal"/>
    <w:link w:val="Ttulo8Car"/>
    <w:uiPriority w:val="9"/>
    <w:semiHidden/>
    <w:unhideWhenUsed/>
    <w:qFormat/>
    <w:rsid w:val="00794F6E"/>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794F6E"/>
    <w:pPr>
      <w:spacing w:after="120"/>
      <w:jc w:val="center"/>
      <w:outlineLvl w:val="8"/>
    </w:pPr>
    <w:rPr>
      <w:i/>
      <w:iCs/>
      <w:caps/>
      <w:spacing w:val="10"/>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basedOn w:val="Normal"/>
    <w:link w:val="SinespaciadoCar"/>
    <w:uiPriority w:val="1"/>
    <w:qFormat/>
    <w:rsid w:val="00794F6E"/>
    <w:pPr>
      <w:spacing w:after="0" w:line="240" w:lineRule="auto"/>
    </w:pPr>
  </w:style>
  <w:style w:type="character" w:customStyle="1" w:styleId="Ttulo1Car">
    <w:name w:val="Título 1 Car"/>
    <w:basedOn w:val="Fuentedeprrafopredeter"/>
    <w:link w:val="Ttulo1"/>
    <w:uiPriority w:val="9"/>
    <w:rsid w:val="00794F6E"/>
    <w:rPr>
      <w:caps/>
      <w:color w:val="134163" w:themeColor="accent2" w:themeShade="80"/>
      <w:spacing w:val="20"/>
      <w:sz w:val="28"/>
      <w:szCs w:val="28"/>
    </w:rPr>
  </w:style>
  <w:style w:type="character" w:customStyle="1" w:styleId="Ttulo2Car">
    <w:name w:val="Título 2 Car"/>
    <w:basedOn w:val="Fuentedeprrafopredeter"/>
    <w:link w:val="Ttulo2"/>
    <w:uiPriority w:val="9"/>
    <w:rsid w:val="00794F6E"/>
    <w:rPr>
      <w:caps/>
      <w:color w:val="134163" w:themeColor="accent2" w:themeShade="80"/>
      <w:spacing w:val="15"/>
      <w:sz w:val="24"/>
      <w:szCs w:val="24"/>
    </w:rPr>
  </w:style>
  <w:style w:type="character" w:customStyle="1" w:styleId="Ttulo3Car">
    <w:name w:val="Título 3 Car"/>
    <w:basedOn w:val="Fuentedeprrafopredeter"/>
    <w:link w:val="Ttulo3"/>
    <w:uiPriority w:val="9"/>
    <w:rsid w:val="00794F6E"/>
    <w:rPr>
      <w:caps/>
      <w:color w:val="134162" w:themeColor="accent2" w:themeShade="7F"/>
      <w:sz w:val="24"/>
      <w:szCs w:val="24"/>
    </w:rPr>
  </w:style>
  <w:style w:type="paragraph" w:styleId="Ttulo">
    <w:name w:val="Title"/>
    <w:basedOn w:val="Normal"/>
    <w:next w:val="Normal"/>
    <w:link w:val="TtuloCar"/>
    <w:uiPriority w:val="10"/>
    <w:qFormat/>
    <w:rsid w:val="00794F6E"/>
    <w:pPr>
      <w:pBdr>
        <w:top w:val="dotted" w:sz="2" w:space="1" w:color="134163" w:themeColor="accent2" w:themeShade="80"/>
        <w:bottom w:val="dotted" w:sz="2" w:space="6" w:color="134163" w:themeColor="accent2" w:themeShade="80"/>
      </w:pBdr>
      <w:spacing w:before="500" w:after="300" w:line="240" w:lineRule="auto"/>
      <w:jc w:val="center"/>
    </w:pPr>
    <w:rPr>
      <w:caps/>
      <w:color w:val="134163" w:themeColor="accent2" w:themeShade="80"/>
      <w:spacing w:val="50"/>
      <w:sz w:val="44"/>
      <w:szCs w:val="44"/>
    </w:rPr>
  </w:style>
  <w:style w:type="character" w:customStyle="1" w:styleId="TtuloCar">
    <w:name w:val="Título Car"/>
    <w:basedOn w:val="Fuentedeprrafopredeter"/>
    <w:link w:val="Ttulo"/>
    <w:uiPriority w:val="10"/>
    <w:rsid w:val="00794F6E"/>
    <w:rPr>
      <w:caps/>
      <w:color w:val="134163" w:themeColor="accent2" w:themeShade="80"/>
      <w:spacing w:val="50"/>
      <w:sz w:val="44"/>
      <w:szCs w:val="44"/>
    </w:rPr>
  </w:style>
  <w:style w:type="paragraph" w:styleId="Subttulo">
    <w:name w:val="Subtitle"/>
    <w:basedOn w:val="Normal"/>
    <w:next w:val="Normal"/>
    <w:link w:val="SubttuloCar"/>
    <w:uiPriority w:val="11"/>
    <w:qFormat/>
    <w:rsid w:val="00794F6E"/>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794F6E"/>
    <w:rPr>
      <w:caps/>
      <w:spacing w:val="20"/>
      <w:sz w:val="18"/>
      <w:szCs w:val="18"/>
    </w:rPr>
  </w:style>
  <w:style w:type="paragraph" w:styleId="Prrafodelista">
    <w:name w:val="List Paragraph"/>
    <w:basedOn w:val="Normal"/>
    <w:uiPriority w:val="34"/>
    <w:qFormat/>
    <w:rsid w:val="00794F6E"/>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794F6E"/>
    <w:rPr>
      <w:i/>
      <w:iCs/>
    </w:rPr>
  </w:style>
  <w:style w:type="character" w:customStyle="1" w:styleId="CitaCar">
    <w:name w:val="Cita Car"/>
    <w:basedOn w:val="Fuentedeprrafopredeter"/>
    <w:link w:val="Cita"/>
    <w:uiPriority w:val="29"/>
    <w:rsid w:val="00794F6E"/>
    <w:rPr>
      <w:i/>
      <w:iCs/>
    </w:rPr>
  </w:style>
  <w:style w:type="character" w:customStyle="1" w:styleId="Ttulo4Car">
    <w:name w:val="Título 4 Car"/>
    <w:basedOn w:val="Fuentedeprrafopredeter"/>
    <w:link w:val="Ttulo4"/>
    <w:uiPriority w:val="9"/>
    <w:rsid w:val="00794F6E"/>
    <w:rPr>
      <w:caps/>
      <w:color w:val="134162" w:themeColor="accent2" w:themeShade="7F"/>
      <w:spacing w:val="10"/>
    </w:rPr>
  </w:style>
  <w:style w:type="character" w:customStyle="1" w:styleId="Ttulo5Car">
    <w:name w:val="Título 5 Car"/>
    <w:basedOn w:val="Fuentedeprrafopredeter"/>
    <w:link w:val="Ttulo5"/>
    <w:uiPriority w:val="9"/>
    <w:rsid w:val="00794F6E"/>
    <w:rPr>
      <w:caps/>
      <w:color w:val="134162" w:themeColor="accent2" w:themeShade="7F"/>
      <w:spacing w:val="10"/>
    </w:rPr>
  </w:style>
  <w:style w:type="character" w:customStyle="1" w:styleId="Ttulo6Car">
    <w:name w:val="Título 6 Car"/>
    <w:basedOn w:val="Fuentedeprrafopredeter"/>
    <w:link w:val="Ttulo6"/>
    <w:uiPriority w:val="9"/>
    <w:semiHidden/>
    <w:rsid w:val="00794F6E"/>
    <w:rPr>
      <w:caps/>
      <w:color w:val="1C6194" w:themeColor="accent2" w:themeShade="BF"/>
      <w:spacing w:val="10"/>
    </w:rPr>
  </w:style>
  <w:style w:type="character" w:customStyle="1" w:styleId="Ttulo7Car">
    <w:name w:val="Título 7 Car"/>
    <w:basedOn w:val="Fuentedeprrafopredeter"/>
    <w:link w:val="Ttulo7"/>
    <w:uiPriority w:val="9"/>
    <w:semiHidden/>
    <w:rsid w:val="00794F6E"/>
    <w:rPr>
      <w:i/>
      <w:iCs/>
      <w:caps/>
      <w:color w:val="1C6194" w:themeColor="accent2" w:themeShade="BF"/>
      <w:spacing w:val="10"/>
    </w:rPr>
  </w:style>
  <w:style w:type="character" w:customStyle="1" w:styleId="Ttulo8Car">
    <w:name w:val="Título 8 Car"/>
    <w:basedOn w:val="Fuentedeprrafopredeter"/>
    <w:link w:val="Ttulo8"/>
    <w:uiPriority w:val="9"/>
    <w:semiHidden/>
    <w:rsid w:val="00794F6E"/>
    <w:rPr>
      <w:caps/>
      <w:spacing w:val="10"/>
      <w:sz w:val="20"/>
      <w:szCs w:val="20"/>
    </w:rPr>
  </w:style>
  <w:style w:type="character" w:customStyle="1" w:styleId="Ttulo9Car">
    <w:name w:val="Título 9 Car"/>
    <w:basedOn w:val="Fuentedeprrafopredeter"/>
    <w:link w:val="Ttulo9"/>
    <w:uiPriority w:val="9"/>
    <w:semiHidden/>
    <w:rsid w:val="00794F6E"/>
    <w:rPr>
      <w:i/>
      <w:iCs/>
      <w:caps/>
      <w:spacing w:val="10"/>
      <w:sz w:val="20"/>
      <w:szCs w:val="20"/>
    </w:rPr>
  </w:style>
  <w:style w:type="paragraph" w:styleId="Descripcin">
    <w:name w:val="caption"/>
    <w:basedOn w:val="Normal"/>
    <w:next w:val="Normal"/>
    <w:uiPriority w:val="35"/>
    <w:semiHidden/>
    <w:unhideWhenUsed/>
    <w:qFormat/>
    <w:rsid w:val="00794F6E"/>
    <w:rPr>
      <w:caps/>
      <w:spacing w:val="10"/>
      <w:sz w:val="18"/>
      <w:szCs w:val="18"/>
    </w:rPr>
  </w:style>
  <w:style w:type="character" w:styleId="Textoennegrita">
    <w:name w:val="Strong"/>
    <w:uiPriority w:val="22"/>
    <w:qFormat/>
    <w:rsid w:val="00794F6E"/>
    <w:rPr>
      <w:b/>
      <w:bCs/>
      <w:color w:val="1C6194" w:themeColor="accent2" w:themeShade="BF"/>
      <w:spacing w:val="5"/>
    </w:rPr>
  </w:style>
  <w:style w:type="character" w:styleId="nfasis">
    <w:name w:val="Emphasis"/>
    <w:uiPriority w:val="20"/>
    <w:qFormat/>
    <w:rsid w:val="00794F6E"/>
    <w:rPr>
      <w:caps/>
      <w:spacing w:val="5"/>
      <w:sz w:val="20"/>
      <w:szCs w:val="20"/>
    </w:rPr>
  </w:style>
  <w:style w:type="paragraph" w:styleId="Citadestacada">
    <w:name w:val="Intense Quote"/>
    <w:basedOn w:val="Normal"/>
    <w:next w:val="Normal"/>
    <w:link w:val="CitadestacadaCar"/>
    <w:uiPriority w:val="30"/>
    <w:qFormat/>
    <w:rsid w:val="00794F6E"/>
    <w:pPr>
      <w:pBdr>
        <w:top w:val="dotted" w:sz="2" w:space="10" w:color="134163" w:themeColor="accent2" w:themeShade="80"/>
        <w:bottom w:val="dotted" w:sz="2" w:space="4" w:color="134163" w:themeColor="accent2" w:themeShade="80"/>
      </w:pBdr>
      <w:spacing w:before="160" w:line="300" w:lineRule="auto"/>
      <w:ind w:left="1440" w:right="1440"/>
    </w:pPr>
    <w:rPr>
      <w:caps/>
      <w:color w:val="134162" w:themeColor="accent2" w:themeShade="7F"/>
      <w:spacing w:val="5"/>
      <w:sz w:val="20"/>
      <w:szCs w:val="20"/>
    </w:rPr>
  </w:style>
  <w:style w:type="character" w:customStyle="1" w:styleId="CitadestacadaCar">
    <w:name w:val="Cita destacada Car"/>
    <w:basedOn w:val="Fuentedeprrafopredeter"/>
    <w:link w:val="Citadestacada"/>
    <w:uiPriority w:val="30"/>
    <w:rsid w:val="00794F6E"/>
    <w:rPr>
      <w:caps/>
      <w:color w:val="134162" w:themeColor="accent2" w:themeShade="7F"/>
      <w:spacing w:val="5"/>
      <w:sz w:val="20"/>
      <w:szCs w:val="20"/>
    </w:rPr>
  </w:style>
  <w:style w:type="character" w:styleId="nfasissutil">
    <w:name w:val="Subtle Emphasis"/>
    <w:uiPriority w:val="19"/>
    <w:qFormat/>
    <w:rsid w:val="00794F6E"/>
    <w:rPr>
      <w:i/>
      <w:iCs/>
    </w:rPr>
  </w:style>
  <w:style w:type="character" w:styleId="nfasisintenso">
    <w:name w:val="Intense Emphasis"/>
    <w:uiPriority w:val="21"/>
    <w:qFormat/>
    <w:rsid w:val="00794F6E"/>
    <w:rPr>
      <w:i/>
      <w:iCs/>
      <w:caps/>
      <w:spacing w:val="10"/>
      <w:sz w:val="20"/>
      <w:szCs w:val="20"/>
    </w:rPr>
  </w:style>
  <w:style w:type="character" w:styleId="Referenciasutil">
    <w:name w:val="Subtle Reference"/>
    <w:basedOn w:val="Fuentedeprrafopredeter"/>
    <w:uiPriority w:val="31"/>
    <w:qFormat/>
    <w:rsid w:val="00794F6E"/>
    <w:rPr>
      <w:rFonts w:asciiTheme="minorHAnsi" w:eastAsiaTheme="minorEastAsia" w:hAnsiTheme="minorHAnsi" w:cstheme="minorBidi"/>
      <w:i/>
      <w:iCs/>
      <w:color w:val="134162" w:themeColor="accent2" w:themeShade="7F"/>
    </w:rPr>
  </w:style>
  <w:style w:type="character" w:styleId="Referenciaintensa">
    <w:name w:val="Intense Reference"/>
    <w:uiPriority w:val="32"/>
    <w:qFormat/>
    <w:rsid w:val="00794F6E"/>
    <w:rPr>
      <w:rFonts w:asciiTheme="minorHAnsi" w:eastAsiaTheme="minorEastAsia" w:hAnsiTheme="minorHAnsi" w:cstheme="minorBidi"/>
      <w:b/>
      <w:bCs/>
      <w:i/>
      <w:iCs/>
      <w:color w:val="134162" w:themeColor="accent2" w:themeShade="7F"/>
    </w:rPr>
  </w:style>
  <w:style w:type="character" w:styleId="Ttulodellibro">
    <w:name w:val="Book Title"/>
    <w:uiPriority w:val="33"/>
    <w:qFormat/>
    <w:rsid w:val="00794F6E"/>
    <w:rPr>
      <w:caps/>
      <w:color w:val="134162" w:themeColor="accent2" w:themeShade="7F"/>
      <w:spacing w:val="5"/>
      <w:u w:color="134162" w:themeColor="accent2" w:themeShade="7F"/>
    </w:rPr>
  </w:style>
  <w:style w:type="paragraph" w:styleId="TtuloTDC">
    <w:name w:val="TOC Heading"/>
    <w:basedOn w:val="Ttulo1"/>
    <w:next w:val="Normal"/>
    <w:uiPriority w:val="39"/>
    <w:semiHidden/>
    <w:unhideWhenUsed/>
    <w:qFormat/>
    <w:rsid w:val="00794F6E"/>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1481AB" w:themeColor="accent1" w:themeShade="BF"/>
    </w:rPr>
    <w:tblPr>
      <w:tblStyleRowBandSize w:val="1"/>
      <w:tblStyleColBandSize w:val="1"/>
      <w:tblBorders>
        <w:top w:val="single" w:sz="8" w:space="0" w:color="1CADE4" w:themeColor="accent1"/>
        <w:bottom w:val="single" w:sz="8" w:space="0" w:color="1CADE4" w:themeColor="accent1"/>
      </w:tblBorders>
    </w:tblPr>
    <w:tblStylePr w:type="firstRow">
      <w:pPr>
        <w:spacing w:before="0" w:after="0" w:line="240" w:lineRule="auto"/>
      </w:pPr>
      <w:rPr>
        <w:b/>
        <w:bCs/>
      </w:rPr>
      <w:tblPr/>
      <w:tcPr>
        <w:tcBorders>
          <w:top w:val="single" w:sz="8" w:space="0" w:color="1CADE4" w:themeColor="accent1"/>
          <w:left w:val="nil"/>
          <w:bottom w:val="single" w:sz="8" w:space="0" w:color="1CADE4" w:themeColor="accent1"/>
          <w:right w:val="nil"/>
          <w:insideH w:val="nil"/>
          <w:insideV w:val="nil"/>
        </w:tcBorders>
      </w:tcPr>
    </w:tblStylePr>
    <w:tblStylePr w:type="lastRow">
      <w:pPr>
        <w:spacing w:before="0" w:after="0" w:line="240" w:lineRule="auto"/>
      </w:pPr>
      <w:rPr>
        <w:b/>
        <w:bCs/>
      </w:rPr>
      <w:tblPr/>
      <w:tcPr>
        <w:tcBorders>
          <w:top w:val="single" w:sz="8" w:space="0" w:color="1CADE4" w:themeColor="accent1"/>
          <w:left w:val="nil"/>
          <w:bottom w:val="single" w:sz="8" w:space="0" w:color="1CADE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6EAF8" w:themeFill="accent1" w:themeFillTint="3F"/>
      </w:tcPr>
    </w:tblStylePr>
    <w:tblStylePr w:type="band1Horz">
      <w:tblPr/>
      <w:tcPr>
        <w:tcBorders>
          <w:left w:val="nil"/>
          <w:right w:val="nil"/>
          <w:insideH w:val="nil"/>
          <w:insideV w:val="nil"/>
        </w:tcBorders>
        <w:shd w:val="clear" w:color="auto" w:fill="C6EAF8" w:themeFill="accent1" w:themeFillTint="3F"/>
      </w:tcPr>
    </w:tblStylePr>
  </w:style>
  <w:style w:type="table" w:styleId="Sombreadoclaro-nfasis2">
    <w:name w:val="Light Shading Accent 2"/>
    <w:basedOn w:val="Tablanormal"/>
    <w:uiPriority w:val="60"/>
    <w:rsid w:val="00FC693F"/>
    <w:pPr>
      <w:spacing w:after="0" w:line="240" w:lineRule="auto"/>
    </w:pPr>
    <w:rPr>
      <w:color w:val="1C6194" w:themeColor="accent2" w:themeShade="BF"/>
    </w:rPr>
    <w:tblPr>
      <w:tblStyleRowBandSize w:val="1"/>
      <w:tblStyleColBandSize w:val="1"/>
      <w:tblBorders>
        <w:top w:val="single" w:sz="8" w:space="0" w:color="2683C6" w:themeColor="accent2"/>
        <w:bottom w:val="single" w:sz="8" w:space="0" w:color="2683C6" w:themeColor="accent2"/>
      </w:tblBorders>
    </w:tblPr>
    <w:tblStylePr w:type="firstRow">
      <w:pPr>
        <w:spacing w:before="0" w:after="0" w:line="240" w:lineRule="auto"/>
      </w:pPr>
      <w:rPr>
        <w:b/>
        <w:bCs/>
      </w:rPr>
      <w:tblPr/>
      <w:tcPr>
        <w:tcBorders>
          <w:top w:val="single" w:sz="8" w:space="0" w:color="2683C6" w:themeColor="accent2"/>
          <w:left w:val="nil"/>
          <w:bottom w:val="single" w:sz="8" w:space="0" w:color="2683C6" w:themeColor="accent2"/>
          <w:right w:val="nil"/>
          <w:insideH w:val="nil"/>
          <w:insideV w:val="nil"/>
        </w:tcBorders>
      </w:tcPr>
    </w:tblStylePr>
    <w:tblStylePr w:type="lastRow">
      <w:pPr>
        <w:spacing w:before="0" w:after="0" w:line="240" w:lineRule="auto"/>
      </w:pPr>
      <w:rPr>
        <w:b/>
        <w:bCs/>
      </w:rPr>
      <w:tblPr/>
      <w:tcPr>
        <w:tcBorders>
          <w:top w:val="single" w:sz="8" w:space="0" w:color="2683C6" w:themeColor="accent2"/>
          <w:left w:val="nil"/>
          <w:bottom w:val="single" w:sz="8" w:space="0" w:color="2683C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5E0F4" w:themeFill="accent2" w:themeFillTint="3F"/>
      </w:tcPr>
    </w:tblStylePr>
    <w:tblStylePr w:type="band1Horz">
      <w:tblPr/>
      <w:tcPr>
        <w:tcBorders>
          <w:left w:val="nil"/>
          <w:right w:val="nil"/>
          <w:insideH w:val="nil"/>
          <w:insideV w:val="nil"/>
        </w:tcBorders>
        <w:shd w:val="clear" w:color="auto" w:fill="C5E0F4" w:themeFill="accent2" w:themeFillTint="3F"/>
      </w:tcPr>
    </w:tblStylePr>
  </w:style>
  <w:style w:type="table" w:styleId="Sombreadoclaro-nfasis3">
    <w:name w:val="Light Shading Accent 3"/>
    <w:basedOn w:val="Tablanormal"/>
    <w:uiPriority w:val="60"/>
    <w:rsid w:val="00FC693F"/>
    <w:pPr>
      <w:spacing w:after="0" w:line="240" w:lineRule="auto"/>
    </w:pPr>
    <w:rPr>
      <w:color w:val="1D99A0" w:themeColor="accent3" w:themeShade="BF"/>
    </w:rPr>
    <w:tblPr>
      <w:tblStyleRowBandSize w:val="1"/>
      <w:tblStyleColBandSize w:val="1"/>
      <w:tblBorders>
        <w:top w:val="single" w:sz="8" w:space="0" w:color="27CED7" w:themeColor="accent3"/>
        <w:bottom w:val="single" w:sz="8" w:space="0" w:color="27CED7" w:themeColor="accent3"/>
      </w:tblBorders>
    </w:tblPr>
    <w:tblStylePr w:type="firstRow">
      <w:pPr>
        <w:spacing w:before="0" w:after="0" w:line="240" w:lineRule="auto"/>
      </w:pPr>
      <w:rPr>
        <w:b/>
        <w:bCs/>
      </w:rPr>
      <w:tblPr/>
      <w:tcPr>
        <w:tcBorders>
          <w:top w:val="single" w:sz="8" w:space="0" w:color="27CED7" w:themeColor="accent3"/>
          <w:left w:val="nil"/>
          <w:bottom w:val="single" w:sz="8" w:space="0" w:color="27CED7" w:themeColor="accent3"/>
          <w:right w:val="nil"/>
          <w:insideH w:val="nil"/>
          <w:insideV w:val="nil"/>
        </w:tcBorders>
      </w:tcPr>
    </w:tblStylePr>
    <w:tblStylePr w:type="lastRow">
      <w:pPr>
        <w:spacing w:before="0" w:after="0" w:line="240" w:lineRule="auto"/>
      </w:pPr>
      <w:rPr>
        <w:b/>
        <w:bCs/>
      </w:rPr>
      <w:tblPr/>
      <w:tcPr>
        <w:tcBorders>
          <w:top w:val="single" w:sz="8" w:space="0" w:color="27CED7" w:themeColor="accent3"/>
          <w:left w:val="nil"/>
          <w:bottom w:val="single" w:sz="8" w:space="0" w:color="27CED7"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9F2F5" w:themeFill="accent3" w:themeFillTint="3F"/>
      </w:tcPr>
    </w:tblStylePr>
    <w:tblStylePr w:type="band1Horz">
      <w:tblPr/>
      <w:tcPr>
        <w:tcBorders>
          <w:left w:val="nil"/>
          <w:right w:val="nil"/>
          <w:insideH w:val="nil"/>
          <w:insideV w:val="nil"/>
        </w:tcBorders>
        <w:shd w:val="clear" w:color="auto" w:fill="C9F2F5" w:themeFill="accent3" w:themeFillTint="3F"/>
      </w:tcPr>
    </w:tblStylePr>
  </w:style>
  <w:style w:type="table" w:styleId="Sombreadoclaro-nfasis4">
    <w:name w:val="Light Shading Accent 4"/>
    <w:basedOn w:val="Tablanormal"/>
    <w:uiPriority w:val="60"/>
    <w:rsid w:val="00FC693F"/>
    <w:pPr>
      <w:spacing w:after="0" w:line="240" w:lineRule="auto"/>
    </w:pPr>
    <w:rPr>
      <w:color w:val="318B70" w:themeColor="accent4" w:themeShade="BF"/>
    </w:rPr>
    <w:tblPr>
      <w:tblStyleRowBandSize w:val="1"/>
      <w:tblStyleColBandSize w:val="1"/>
      <w:tblBorders>
        <w:top w:val="single" w:sz="8" w:space="0" w:color="42BA97" w:themeColor="accent4"/>
        <w:bottom w:val="single" w:sz="8" w:space="0" w:color="42BA97" w:themeColor="accent4"/>
      </w:tblBorders>
    </w:tblPr>
    <w:tblStylePr w:type="firstRow">
      <w:pPr>
        <w:spacing w:before="0" w:after="0" w:line="240" w:lineRule="auto"/>
      </w:pPr>
      <w:rPr>
        <w:b/>
        <w:bCs/>
      </w:rPr>
      <w:tblPr/>
      <w:tcPr>
        <w:tcBorders>
          <w:top w:val="single" w:sz="8" w:space="0" w:color="42BA97" w:themeColor="accent4"/>
          <w:left w:val="nil"/>
          <w:bottom w:val="single" w:sz="8" w:space="0" w:color="42BA97" w:themeColor="accent4"/>
          <w:right w:val="nil"/>
          <w:insideH w:val="nil"/>
          <w:insideV w:val="nil"/>
        </w:tcBorders>
      </w:tcPr>
    </w:tblStylePr>
    <w:tblStylePr w:type="lastRow">
      <w:pPr>
        <w:spacing w:before="0" w:after="0" w:line="240" w:lineRule="auto"/>
      </w:pPr>
      <w:rPr>
        <w:b/>
        <w:bCs/>
      </w:rPr>
      <w:tblPr/>
      <w:tcPr>
        <w:tcBorders>
          <w:top w:val="single" w:sz="8" w:space="0" w:color="42BA97" w:themeColor="accent4"/>
          <w:left w:val="nil"/>
          <w:bottom w:val="single" w:sz="8" w:space="0" w:color="42BA97"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EEE5" w:themeFill="accent4" w:themeFillTint="3F"/>
      </w:tcPr>
    </w:tblStylePr>
    <w:tblStylePr w:type="band1Horz">
      <w:tblPr/>
      <w:tcPr>
        <w:tcBorders>
          <w:left w:val="nil"/>
          <w:right w:val="nil"/>
          <w:insideH w:val="nil"/>
          <w:insideV w:val="nil"/>
        </w:tcBorders>
        <w:shd w:val="clear" w:color="auto" w:fill="CFEEE5" w:themeFill="accent4" w:themeFillTint="3F"/>
      </w:tcPr>
    </w:tblStylePr>
  </w:style>
  <w:style w:type="table" w:styleId="Sombreadoclaro-nfasis5">
    <w:name w:val="Light Shading Accent 5"/>
    <w:basedOn w:val="Tablanormal"/>
    <w:uiPriority w:val="60"/>
    <w:rsid w:val="00FC693F"/>
    <w:pPr>
      <w:spacing w:after="0" w:line="240" w:lineRule="auto"/>
    </w:pPr>
    <w:rPr>
      <w:color w:val="2E653E" w:themeColor="accent5" w:themeShade="BF"/>
    </w:rPr>
    <w:tblPr>
      <w:tblStyleRowBandSize w:val="1"/>
      <w:tblStyleColBandSize w:val="1"/>
      <w:tblBorders>
        <w:top w:val="single" w:sz="8" w:space="0" w:color="3E8853" w:themeColor="accent5"/>
        <w:bottom w:val="single" w:sz="8" w:space="0" w:color="3E8853" w:themeColor="accent5"/>
      </w:tblBorders>
    </w:tblPr>
    <w:tblStylePr w:type="firstRow">
      <w:pPr>
        <w:spacing w:before="0" w:after="0" w:line="240" w:lineRule="auto"/>
      </w:pPr>
      <w:rPr>
        <w:b/>
        <w:bCs/>
      </w:rPr>
      <w:tblPr/>
      <w:tcPr>
        <w:tcBorders>
          <w:top w:val="single" w:sz="8" w:space="0" w:color="3E8853" w:themeColor="accent5"/>
          <w:left w:val="nil"/>
          <w:bottom w:val="single" w:sz="8" w:space="0" w:color="3E8853" w:themeColor="accent5"/>
          <w:right w:val="nil"/>
          <w:insideH w:val="nil"/>
          <w:insideV w:val="nil"/>
        </w:tcBorders>
      </w:tcPr>
    </w:tblStylePr>
    <w:tblStylePr w:type="lastRow">
      <w:pPr>
        <w:spacing w:before="0" w:after="0" w:line="240" w:lineRule="auto"/>
      </w:pPr>
      <w:rPr>
        <w:b/>
        <w:bCs/>
      </w:rPr>
      <w:tblPr/>
      <w:tcPr>
        <w:tcBorders>
          <w:top w:val="single" w:sz="8" w:space="0" w:color="3E8853" w:themeColor="accent5"/>
          <w:left w:val="nil"/>
          <w:bottom w:val="single" w:sz="8" w:space="0" w:color="3E885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9E6D2" w:themeFill="accent5" w:themeFillTint="3F"/>
      </w:tcPr>
    </w:tblStylePr>
    <w:tblStylePr w:type="band1Horz">
      <w:tblPr/>
      <w:tcPr>
        <w:tcBorders>
          <w:left w:val="nil"/>
          <w:right w:val="nil"/>
          <w:insideH w:val="nil"/>
          <w:insideV w:val="nil"/>
        </w:tcBorders>
        <w:shd w:val="clear" w:color="auto" w:fill="C9E6D2" w:themeFill="accent5" w:themeFillTint="3F"/>
      </w:tcPr>
    </w:tblStylePr>
  </w:style>
  <w:style w:type="table" w:styleId="Sombreadoclaro-nfasis6">
    <w:name w:val="Light Shading Accent 6"/>
    <w:basedOn w:val="Tablanormal"/>
    <w:uiPriority w:val="60"/>
    <w:rsid w:val="00FC693F"/>
    <w:pPr>
      <w:spacing w:after="0" w:line="240" w:lineRule="auto"/>
    </w:pPr>
    <w:rPr>
      <w:color w:val="487B77" w:themeColor="accent6" w:themeShade="BF"/>
    </w:rPr>
    <w:tblPr>
      <w:tblStyleRowBandSize w:val="1"/>
      <w:tblStyleColBandSize w:val="1"/>
      <w:tblBorders>
        <w:top w:val="single" w:sz="8" w:space="0" w:color="62A39F" w:themeColor="accent6"/>
        <w:bottom w:val="single" w:sz="8" w:space="0" w:color="62A39F" w:themeColor="accent6"/>
      </w:tblBorders>
    </w:tblPr>
    <w:tblStylePr w:type="firstRow">
      <w:pPr>
        <w:spacing w:before="0" w:after="0" w:line="240" w:lineRule="auto"/>
      </w:pPr>
      <w:rPr>
        <w:b/>
        <w:bCs/>
      </w:rPr>
      <w:tblPr/>
      <w:tcPr>
        <w:tcBorders>
          <w:top w:val="single" w:sz="8" w:space="0" w:color="62A39F" w:themeColor="accent6"/>
          <w:left w:val="nil"/>
          <w:bottom w:val="single" w:sz="8" w:space="0" w:color="62A39F" w:themeColor="accent6"/>
          <w:right w:val="nil"/>
          <w:insideH w:val="nil"/>
          <w:insideV w:val="nil"/>
        </w:tcBorders>
      </w:tcPr>
    </w:tblStylePr>
    <w:tblStylePr w:type="lastRow">
      <w:pPr>
        <w:spacing w:before="0" w:after="0" w:line="240" w:lineRule="auto"/>
      </w:pPr>
      <w:rPr>
        <w:b/>
        <w:bCs/>
      </w:rPr>
      <w:tblPr/>
      <w:tcPr>
        <w:tcBorders>
          <w:top w:val="single" w:sz="8" w:space="0" w:color="62A39F" w:themeColor="accent6"/>
          <w:left w:val="nil"/>
          <w:bottom w:val="single" w:sz="8" w:space="0" w:color="62A39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8E8E7" w:themeFill="accent6" w:themeFillTint="3F"/>
      </w:tcPr>
    </w:tblStylePr>
    <w:tblStylePr w:type="band1Horz">
      <w:tblPr/>
      <w:tcPr>
        <w:tcBorders>
          <w:left w:val="nil"/>
          <w:right w:val="nil"/>
          <w:insideH w:val="nil"/>
          <w:insideV w:val="nil"/>
        </w:tcBorders>
        <w:shd w:val="clear" w:color="auto" w:fill="D8E8E7"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1CADE4" w:themeColor="accent1"/>
        <w:left w:val="single" w:sz="8" w:space="0" w:color="1CADE4" w:themeColor="accent1"/>
        <w:bottom w:val="single" w:sz="8" w:space="0" w:color="1CADE4" w:themeColor="accent1"/>
        <w:right w:val="single" w:sz="8" w:space="0" w:color="1CADE4" w:themeColor="accent1"/>
      </w:tblBorders>
    </w:tblPr>
    <w:tblStylePr w:type="firstRow">
      <w:pPr>
        <w:spacing w:before="0" w:after="0" w:line="240" w:lineRule="auto"/>
      </w:pPr>
      <w:rPr>
        <w:b/>
        <w:bCs/>
        <w:color w:val="FFFFFF" w:themeColor="background1"/>
      </w:rPr>
      <w:tblPr/>
      <w:tcPr>
        <w:shd w:val="clear" w:color="auto" w:fill="1CADE4" w:themeFill="accent1"/>
      </w:tcPr>
    </w:tblStylePr>
    <w:tblStylePr w:type="lastRow">
      <w:pPr>
        <w:spacing w:before="0" w:after="0" w:line="240" w:lineRule="auto"/>
      </w:pPr>
      <w:rPr>
        <w:b/>
        <w:bCs/>
      </w:rPr>
      <w:tblPr/>
      <w:tcPr>
        <w:tcBorders>
          <w:top w:val="double" w:sz="6" w:space="0" w:color="1CADE4" w:themeColor="accent1"/>
          <w:left w:val="single" w:sz="8" w:space="0" w:color="1CADE4" w:themeColor="accent1"/>
          <w:bottom w:val="single" w:sz="8" w:space="0" w:color="1CADE4" w:themeColor="accent1"/>
          <w:right w:val="single" w:sz="8" w:space="0" w:color="1CADE4" w:themeColor="accent1"/>
        </w:tcBorders>
      </w:tcPr>
    </w:tblStylePr>
    <w:tblStylePr w:type="firstCol">
      <w:rPr>
        <w:b/>
        <w:bCs/>
      </w:rPr>
    </w:tblStylePr>
    <w:tblStylePr w:type="lastCol">
      <w:rPr>
        <w:b/>
        <w:bCs/>
      </w:rPr>
    </w:tblStylePr>
    <w:tblStylePr w:type="band1Vert">
      <w:tblPr/>
      <w:tcPr>
        <w:tcBorders>
          <w:top w:val="single" w:sz="8" w:space="0" w:color="1CADE4" w:themeColor="accent1"/>
          <w:left w:val="single" w:sz="8" w:space="0" w:color="1CADE4" w:themeColor="accent1"/>
          <w:bottom w:val="single" w:sz="8" w:space="0" w:color="1CADE4" w:themeColor="accent1"/>
          <w:right w:val="single" w:sz="8" w:space="0" w:color="1CADE4" w:themeColor="accent1"/>
        </w:tcBorders>
      </w:tcPr>
    </w:tblStylePr>
    <w:tblStylePr w:type="band1Horz">
      <w:tblPr/>
      <w:tcPr>
        <w:tcBorders>
          <w:top w:val="single" w:sz="8" w:space="0" w:color="1CADE4" w:themeColor="accent1"/>
          <w:left w:val="single" w:sz="8" w:space="0" w:color="1CADE4" w:themeColor="accent1"/>
          <w:bottom w:val="single" w:sz="8" w:space="0" w:color="1CADE4" w:themeColor="accent1"/>
          <w:right w:val="single" w:sz="8" w:space="0" w:color="1CADE4"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2683C6" w:themeColor="accent2"/>
        <w:left w:val="single" w:sz="8" w:space="0" w:color="2683C6" w:themeColor="accent2"/>
        <w:bottom w:val="single" w:sz="8" w:space="0" w:color="2683C6" w:themeColor="accent2"/>
        <w:right w:val="single" w:sz="8" w:space="0" w:color="2683C6" w:themeColor="accent2"/>
      </w:tblBorders>
    </w:tblPr>
    <w:tblStylePr w:type="firstRow">
      <w:pPr>
        <w:spacing w:before="0" w:after="0" w:line="240" w:lineRule="auto"/>
      </w:pPr>
      <w:rPr>
        <w:b/>
        <w:bCs/>
        <w:color w:val="FFFFFF" w:themeColor="background1"/>
      </w:rPr>
      <w:tblPr/>
      <w:tcPr>
        <w:shd w:val="clear" w:color="auto" w:fill="2683C6" w:themeFill="accent2"/>
      </w:tcPr>
    </w:tblStylePr>
    <w:tblStylePr w:type="lastRow">
      <w:pPr>
        <w:spacing w:before="0" w:after="0" w:line="240" w:lineRule="auto"/>
      </w:pPr>
      <w:rPr>
        <w:b/>
        <w:bCs/>
      </w:rPr>
      <w:tblPr/>
      <w:tcPr>
        <w:tcBorders>
          <w:top w:val="double" w:sz="6" w:space="0" w:color="2683C6" w:themeColor="accent2"/>
          <w:left w:val="single" w:sz="8" w:space="0" w:color="2683C6" w:themeColor="accent2"/>
          <w:bottom w:val="single" w:sz="8" w:space="0" w:color="2683C6" w:themeColor="accent2"/>
          <w:right w:val="single" w:sz="8" w:space="0" w:color="2683C6" w:themeColor="accent2"/>
        </w:tcBorders>
      </w:tcPr>
    </w:tblStylePr>
    <w:tblStylePr w:type="firstCol">
      <w:rPr>
        <w:b/>
        <w:bCs/>
      </w:rPr>
    </w:tblStylePr>
    <w:tblStylePr w:type="lastCol">
      <w:rPr>
        <w:b/>
        <w:bCs/>
      </w:rPr>
    </w:tblStylePr>
    <w:tblStylePr w:type="band1Vert">
      <w:tblPr/>
      <w:tcPr>
        <w:tcBorders>
          <w:top w:val="single" w:sz="8" w:space="0" w:color="2683C6" w:themeColor="accent2"/>
          <w:left w:val="single" w:sz="8" w:space="0" w:color="2683C6" w:themeColor="accent2"/>
          <w:bottom w:val="single" w:sz="8" w:space="0" w:color="2683C6" w:themeColor="accent2"/>
          <w:right w:val="single" w:sz="8" w:space="0" w:color="2683C6" w:themeColor="accent2"/>
        </w:tcBorders>
      </w:tcPr>
    </w:tblStylePr>
    <w:tblStylePr w:type="band1Horz">
      <w:tblPr/>
      <w:tcPr>
        <w:tcBorders>
          <w:top w:val="single" w:sz="8" w:space="0" w:color="2683C6" w:themeColor="accent2"/>
          <w:left w:val="single" w:sz="8" w:space="0" w:color="2683C6" w:themeColor="accent2"/>
          <w:bottom w:val="single" w:sz="8" w:space="0" w:color="2683C6" w:themeColor="accent2"/>
          <w:right w:val="single" w:sz="8" w:space="0" w:color="2683C6"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27CED7" w:themeColor="accent3"/>
        <w:left w:val="single" w:sz="8" w:space="0" w:color="27CED7" w:themeColor="accent3"/>
        <w:bottom w:val="single" w:sz="8" w:space="0" w:color="27CED7" w:themeColor="accent3"/>
        <w:right w:val="single" w:sz="8" w:space="0" w:color="27CED7" w:themeColor="accent3"/>
      </w:tblBorders>
    </w:tblPr>
    <w:tblStylePr w:type="firstRow">
      <w:pPr>
        <w:spacing w:before="0" w:after="0" w:line="240" w:lineRule="auto"/>
      </w:pPr>
      <w:rPr>
        <w:b/>
        <w:bCs/>
        <w:color w:val="FFFFFF" w:themeColor="background1"/>
      </w:rPr>
      <w:tblPr/>
      <w:tcPr>
        <w:shd w:val="clear" w:color="auto" w:fill="27CED7" w:themeFill="accent3"/>
      </w:tcPr>
    </w:tblStylePr>
    <w:tblStylePr w:type="lastRow">
      <w:pPr>
        <w:spacing w:before="0" w:after="0" w:line="240" w:lineRule="auto"/>
      </w:pPr>
      <w:rPr>
        <w:b/>
        <w:bCs/>
      </w:rPr>
      <w:tblPr/>
      <w:tcPr>
        <w:tcBorders>
          <w:top w:val="double" w:sz="6" w:space="0" w:color="27CED7" w:themeColor="accent3"/>
          <w:left w:val="single" w:sz="8" w:space="0" w:color="27CED7" w:themeColor="accent3"/>
          <w:bottom w:val="single" w:sz="8" w:space="0" w:color="27CED7" w:themeColor="accent3"/>
          <w:right w:val="single" w:sz="8" w:space="0" w:color="27CED7" w:themeColor="accent3"/>
        </w:tcBorders>
      </w:tcPr>
    </w:tblStylePr>
    <w:tblStylePr w:type="firstCol">
      <w:rPr>
        <w:b/>
        <w:bCs/>
      </w:rPr>
    </w:tblStylePr>
    <w:tblStylePr w:type="lastCol">
      <w:rPr>
        <w:b/>
        <w:bCs/>
      </w:rPr>
    </w:tblStylePr>
    <w:tblStylePr w:type="band1Vert">
      <w:tblPr/>
      <w:tcPr>
        <w:tcBorders>
          <w:top w:val="single" w:sz="8" w:space="0" w:color="27CED7" w:themeColor="accent3"/>
          <w:left w:val="single" w:sz="8" w:space="0" w:color="27CED7" w:themeColor="accent3"/>
          <w:bottom w:val="single" w:sz="8" w:space="0" w:color="27CED7" w:themeColor="accent3"/>
          <w:right w:val="single" w:sz="8" w:space="0" w:color="27CED7" w:themeColor="accent3"/>
        </w:tcBorders>
      </w:tcPr>
    </w:tblStylePr>
    <w:tblStylePr w:type="band1Horz">
      <w:tblPr/>
      <w:tcPr>
        <w:tcBorders>
          <w:top w:val="single" w:sz="8" w:space="0" w:color="27CED7" w:themeColor="accent3"/>
          <w:left w:val="single" w:sz="8" w:space="0" w:color="27CED7" w:themeColor="accent3"/>
          <w:bottom w:val="single" w:sz="8" w:space="0" w:color="27CED7" w:themeColor="accent3"/>
          <w:right w:val="single" w:sz="8" w:space="0" w:color="27CED7"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42BA97" w:themeColor="accent4"/>
        <w:left w:val="single" w:sz="8" w:space="0" w:color="42BA97" w:themeColor="accent4"/>
        <w:bottom w:val="single" w:sz="8" w:space="0" w:color="42BA97" w:themeColor="accent4"/>
        <w:right w:val="single" w:sz="8" w:space="0" w:color="42BA97" w:themeColor="accent4"/>
      </w:tblBorders>
    </w:tblPr>
    <w:tblStylePr w:type="firstRow">
      <w:pPr>
        <w:spacing w:before="0" w:after="0" w:line="240" w:lineRule="auto"/>
      </w:pPr>
      <w:rPr>
        <w:b/>
        <w:bCs/>
        <w:color w:val="FFFFFF" w:themeColor="background1"/>
      </w:rPr>
      <w:tblPr/>
      <w:tcPr>
        <w:shd w:val="clear" w:color="auto" w:fill="42BA97" w:themeFill="accent4"/>
      </w:tcPr>
    </w:tblStylePr>
    <w:tblStylePr w:type="lastRow">
      <w:pPr>
        <w:spacing w:before="0" w:after="0" w:line="240" w:lineRule="auto"/>
      </w:pPr>
      <w:rPr>
        <w:b/>
        <w:bCs/>
      </w:rPr>
      <w:tblPr/>
      <w:tcPr>
        <w:tcBorders>
          <w:top w:val="double" w:sz="6" w:space="0" w:color="42BA97" w:themeColor="accent4"/>
          <w:left w:val="single" w:sz="8" w:space="0" w:color="42BA97" w:themeColor="accent4"/>
          <w:bottom w:val="single" w:sz="8" w:space="0" w:color="42BA97" w:themeColor="accent4"/>
          <w:right w:val="single" w:sz="8" w:space="0" w:color="42BA97" w:themeColor="accent4"/>
        </w:tcBorders>
      </w:tcPr>
    </w:tblStylePr>
    <w:tblStylePr w:type="firstCol">
      <w:rPr>
        <w:b/>
        <w:bCs/>
      </w:rPr>
    </w:tblStylePr>
    <w:tblStylePr w:type="lastCol">
      <w:rPr>
        <w:b/>
        <w:bCs/>
      </w:rPr>
    </w:tblStylePr>
    <w:tblStylePr w:type="band1Vert">
      <w:tblPr/>
      <w:tcPr>
        <w:tcBorders>
          <w:top w:val="single" w:sz="8" w:space="0" w:color="42BA97" w:themeColor="accent4"/>
          <w:left w:val="single" w:sz="8" w:space="0" w:color="42BA97" w:themeColor="accent4"/>
          <w:bottom w:val="single" w:sz="8" w:space="0" w:color="42BA97" w:themeColor="accent4"/>
          <w:right w:val="single" w:sz="8" w:space="0" w:color="42BA97" w:themeColor="accent4"/>
        </w:tcBorders>
      </w:tcPr>
    </w:tblStylePr>
    <w:tblStylePr w:type="band1Horz">
      <w:tblPr/>
      <w:tcPr>
        <w:tcBorders>
          <w:top w:val="single" w:sz="8" w:space="0" w:color="42BA97" w:themeColor="accent4"/>
          <w:left w:val="single" w:sz="8" w:space="0" w:color="42BA97" w:themeColor="accent4"/>
          <w:bottom w:val="single" w:sz="8" w:space="0" w:color="42BA97" w:themeColor="accent4"/>
          <w:right w:val="single" w:sz="8" w:space="0" w:color="42BA97"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3E8853" w:themeColor="accent5"/>
        <w:left w:val="single" w:sz="8" w:space="0" w:color="3E8853" w:themeColor="accent5"/>
        <w:bottom w:val="single" w:sz="8" w:space="0" w:color="3E8853" w:themeColor="accent5"/>
        <w:right w:val="single" w:sz="8" w:space="0" w:color="3E8853" w:themeColor="accent5"/>
      </w:tblBorders>
    </w:tblPr>
    <w:tblStylePr w:type="firstRow">
      <w:pPr>
        <w:spacing w:before="0" w:after="0" w:line="240" w:lineRule="auto"/>
      </w:pPr>
      <w:rPr>
        <w:b/>
        <w:bCs/>
        <w:color w:val="FFFFFF" w:themeColor="background1"/>
      </w:rPr>
      <w:tblPr/>
      <w:tcPr>
        <w:shd w:val="clear" w:color="auto" w:fill="3E8853" w:themeFill="accent5"/>
      </w:tcPr>
    </w:tblStylePr>
    <w:tblStylePr w:type="lastRow">
      <w:pPr>
        <w:spacing w:before="0" w:after="0" w:line="240" w:lineRule="auto"/>
      </w:pPr>
      <w:rPr>
        <w:b/>
        <w:bCs/>
      </w:rPr>
      <w:tblPr/>
      <w:tcPr>
        <w:tcBorders>
          <w:top w:val="double" w:sz="6" w:space="0" w:color="3E8853" w:themeColor="accent5"/>
          <w:left w:val="single" w:sz="8" w:space="0" w:color="3E8853" w:themeColor="accent5"/>
          <w:bottom w:val="single" w:sz="8" w:space="0" w:color="3E8853" w:themeColor="accent5"/>
          <w:right w:val="single" w:sz="8" w:space="0" w:color="3E8853" w:themeColor="accent5"/>
        </w:tcBorders>
      </w:tcPr>
    </w:tblStylePr>
    <w:tblStylePr w:type="firstCol">
      <w:rPr>
        <w:b/>
        <w:bCs/>
      </w:rPr>
    </w:tblStylePr>
    <w:tblStylePr w:type="lastCol">
      <w:rPr>
        <w:b/>
        <w:bCs/>
      </w:rPr>
    </w:tblStylePr>
    <w:tblStylePr w:type="band1Vert">
      <w:tblPr/>
      <w:tcPr>
        <w:tcBorders>
          <w:top w:val="single" w:sz="8" w:space="0" w:color="3E8853" w:themeColor="accent5"/>
          <w:left w:val="single" w:sz="8" w:space="0" w:color="3E8853" w:themeColor="accent5"/>
          <w:bottom w:val="single" w:sz="8" w:space="0" w:color="3E8853" w:themeColor="accent5"/>
          <w:right w:val="single" w:sz="8" w:space="0" w:color="3E8853" w:themeColor="accent5"/>
        </w:tcBorders>
      </w:tcPr>
    </w:tblStylePr>
    <w:tblStylePr w:type="band1Horz">
      <w:tblPr/>
      <w:tcPr>
        <w:tcBorders>
          <w:top w:val="single" w:sz="8" w:space="0" w:color="3E8853" w:themeColor="accent5"/>
          <w:left w:val="single" w:sz="8" w:space="0" w:color="3E8853" w:themeColor="accent5"/>
          <w:bottom w:val="single" w:sz="8" w:space="0" w:color="3E8853" w:themeColor="accent5"/>
          <w:right w:val="single" w:sz="8" w:space="0" w:color="3E8853"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62A39F" w:themeColor="accent6"/>
        <w:left w:val="single" w:sz="8" w:space="0" w:color="62A39F" w:themeColor="accent6"/>
        <w:bottom w:val="single" w:sz="8" w:space="0" w:color="62A39F" w:themeColor="accent6"/>
        <w:right w:val="single" w:sz="8" w:space="0" w:color="62A39F" w:themeColor="accent6"/>
      </w:tblBorders>
    </w:tblPr>
    <w:tblStylePr w:type="firstRow">
      <w:pPr>
        <w:spacing w:before="0" w:after="0" w:line="240" w:lineRule="auto"/>
      </w:pPr>
      <w:rPr>
        <w:b/>
        <w:bCs/>
        <w:color w:val="FFFFFF" w:themeColor="background1"/>
      </w:rPr>
      <w:tblPr/>
      <w:tcPr>
        <w:shd w:val="clear" w:color="auto" w:fill="62A39F" w:themeFill="accent6"/>
      </w:tcPr>
    </w:tblStylePr>
    <w:tblStylePr w:type="lastRow">
      <w:pPr>
        <w:spacing w:before="0" w:after="0" w:line="240" w:lineRule="auto"/>
      </w:pPr>
      <w:rPr>
        <w:b/>
        <w:bCs/>
      </w:rPr>
      <w:tblPr/>
      <w:tcPr>
        <w:tcBorders>
          <w:top w:val="double" w:sz="6" w:space="0" w:color="62A39F" w:themeColor="accent6"/>
          <w:left w:val="single" w:sz="8" w:space="0" w:color="62A39F" w:themeColor="accent6"/>
          <w:bottom w:val="single" w:sz="8" w:space="0" w:color="62A39F" w:themeColor="accent6"/>
          <w:right w:val="single" w:sz="8" w:space="0" w:color="62A39F" w:themeColor="accent6"/>
        </w:tcBorders>
      </w:tcPr>
    </w:tblStylePr>
    <w:tblStylePr w:type="firstCol">
      <w:rPr>
        <w:b/>
        <w:bCs/>
      </w:rPr>
    </w:tblStylePr>
    <w:tblStylePr w:type="lastCol">
      <w:rPr>
        <w:b/>
        <w:bCs/>
      </w:rPr>
    </w:tblStylePr>
    <w:tblStylePr w:type="band1Vert">
      <w:tblPr/>
      <w:tcPr>
        <w:tcBorders>
          <w:top w:val="single" w:sz="8" w:space="0" w:color="62A39F" w:themeColor="accent6"/>
          <w:left w:val="single" w:sz="8" w:space="0" w:color="62A39F" w:themeColor="accent6"/>
          <w:bottom w:val="single" w:sz="8" w:space="0" w:color="62A39F" w:themeColor="accent6"/>
          <w:right w:val="single" w:sz="8" w:space="0" w:color="62A39F" w:themeColor="accent6"/>
        </w:tcBorders>
      </w:tcPr>
    </w:tblStylePr>
    <w:tblStylePr w:type="band1Horz">
      <w:tblPr/>
      <w:tcPr>
        <w:tcBorders>
          <w:top w:val="single" w:sz="8" w:space="0" w:color="62A39F" w:themeColor="accent6"/>
          <w:left w:val="single" w:sz="8" w:space="0" w:color="62A39F" w:themeColor="accent6"/>
          <w:bottom w:val="single" w:sz="8" w:space="0" w:color="62A39F" w:themeColor="accent6"/>
          <w:right w:val="single" w:sz="8" w:space="0" w:color="62A39F"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1CADE4" w:themeColor="accent1"/>
        <w:left w:val="single" w:sz="8" w:space="0" w:color="1CADE4" w:themeColor="accent1"/>
        <w:bottom w:val="single" w:sz="8" w:space="0" w:color="1CADE4" w:themeColor="accent1"/>
        <w:right w:val="single" w:sz="8" w:space="0" w:color="1CADE4" w:themeColor="accent1"/>
        <w:insideH w:val="single" w:sz="8" w:space="0" w:color="1CADE4" w:themeColor="accent1"/>
        <w:insideV w:val="single" w:sz="8" w:space="0" w:color="1CADE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CADE4" w:themeColor="accent1"/>
          <w:left w:val="single" w:sz="8" w:space="0" w:color="1CADE4" w:themeColor="accent1"/>
          <w:bottom w:val="single" w:sz="18" w:space="0" w:color="1CADE4" w:themeColor="accent1"/>
          <w:right w:val="single" w:sz="8" w:space="0" w:color="1CADE4" w:themeColor="accent1"/>
          <w:insideH w:val="nil"/>
          <w:insideV w:val="single" w:sz="8" w:space="0" w:color="1CADE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CADE4" w:themeColor="accent1"/>
          <w:left w:val="single" w:sz="8" w:space="0" w:color="1CADE4" w:themeColor="accent1"/>
          <w:bottom w:val="single" w:sz="8" w:space="0" w:color="1CADE4" w:themeColor="accent1"/>
          <w:right w:val="single" w:sz="8" w:space="0" w:color="1CADE4" w:themeColor="accent1"/>
          <w:insideH w:val="nil"/>
          <w:insideV w:val="single" w:sz="8" w:space="0" w:color="1CADE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CADE4" w:themeColor="accent1"/>
          <w:left w:val="single" w:sz="8" w:space="0" w:color="1CADE4" w:themeColor="accent1"/>
          <w:bottom w:val="single" w:sz="8" w:space="0" w:color="1CADE4" w:themeColor="accent1"/>
          <w:right w:val="single" w:sz="8" w:space="0" w:color="1CADE4" w:themeColor="accent1"/>
        </w:tcBorders>
      </w:tcPr>
    </w:tblStylePr>
    <w:tblStylePr w:type="band1Vert">
      <w:tblPr/>
      <w:tcPr>
        <w:tcBorders>
          <w:top w:val="single" w:sz="8" w:space="0" w:color="1CADE4" w:themeColor="accent1"/>
          <w:left w:val="single" w:sz="8" w:space="0" w:color="1CADE4" w:themeColor="accent1"/>
          <w:bottom w:val="single" w:sz="8" w:space="0" w:color="1CADE4" w:themeColor="accent1"/>
          <w:right w:val="single" w:sz="8" w:space="0" w:color="1CADE4" w:themeColor="accent1"/>
        </w:tcBorders>
        <w:shd w:val="clear" w:color="auto" w:fill="C6EAF8" w:themeFill="accent1" w:themeFillTint="3F"/>
      </w:tcPr>
    </w:tblStylePr>
    <w:tblStylePr w:type="band1Horz">
      <w:tblPr/>
      <w:tcPr>
        <w:tcBorders>
          <w:top w:val="single" w:sz="8" w:space="0" w:color="1CADE4" w:themeColor="accent1"/>
          <w:left w:val="single" w:sz="8" w:space="0" w:color="1CADE4" w:themeColor="accent1"/>
          <w:bottom w:val="single" w:sz="8" w:space="0" w:color="1CADE4" w:themeColor="accent1"/>
          <w:right w:val="single" w:sz="8" w:space="0" w:color="1CADE4" w:themeColor="accent1"/>
          <w:insideV w:val="single" w:sz="8" w:space="0" w:color="1CADE4" w:themeColor="accent1"/>
        </w:tcBorders>
        <w:shd w:val="clear" w:color="auto" w:fill="C6EAF8" w:themeFill="accent1" w:themeFillTint="3F"/>
      </w:tcPr>
    </w:tblStylePr>
    <w:tblStylePr w:type="band2Horz">
      <w:tblPr/>
      <w:tcPr>
        <w:tcBorders>
          <w:top w:val="single" w:sz="8" w:space="0" w:color="1CADE4" w:themeColor="accent1"/>
          <w:left w:val="single" w:sz="8" w:space="0" w:color="1CADE4" w:themeColor="accent1"/>
          <w:bottom w:val="single" w:sz="8" w:space="0" w:color="1CADE4" w:themeColor="accent1"/>
          <w:right w:val="single" w:sz="8" w:space="0" w:color="1CADE4" w:themeColor="accent1"/>
          <w:insideV w:val="single" w:sz="8" w:space="0" w:color="1CADE4"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2683C6" w:themeColor="accent2"/>
        <w:left w:val="single" w:sz="8" w:space="0" w:color="2683C6" w:themeColor="accent2"/>
        <w:bottom w:val="single" w:sz="8" w:space="0" w:color="2683C6" w:themeColor="accent2"/>
        <w:right w:val="single" w:sz="8" w:space="0" w:color="2683C6" w:themeColor="accent2"/>
        <w:insideH w:val="single" w:sz="8" w:space="0" w:color="2683C6" w:themeColor="accent2"/>
        <w:insideV w:val="single" w:sz="8" w:space="0" w:color="2683C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683C6" w:themeColor="accent2"/>
          <w:left w:val="single" w:sz="8" w:space="0" w:color="2683C6" w:themeColor="accent2"/>
          <w:bottom w:val="single" w:sz="18" w:space="0" w:color="2683C6" w:themeColor="accent2"/>
          <w:right w:val="single" w:sz="8" w:space="0" w:color="2683C6" w:themeColor="accent2"/>
          <w:insideH w:val="nil"/>
          <w:insideV w:val="single" w:sz="8" w:space="0" w:color="2683C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683C6" w:themeColor="accent2"/>
          <w:left w:val="single" w:sz="8" w:space="0" w:color="2683C6" w:themeColor="accent2"/>
          <w:bottom w:val="single" w:sz="8" w:space="0" w:color="2683C6" w:themeColor="accent2"/>
          <w:right w:val="single" w:sz="8" w:space="0" w:color="2683C6" w:themeColor="accent2"/>
          <w:insideH w:val="nil"/>
          <w:insideV w:val="single" w:sz="8" w:space="0" w:color="2683C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683C6" w:themeColor="accent2"/>
          <w:left w:val="single" w:sz="8" w:space="0" w:color="2683C6" w:themeColor="accent2"/>
          <w:bottom w:val="single" w:sz="8" w:space="0" w:color="2683C6" w:themeColor="accent2"/>
          <w:right w:val="single" w:sz="8" w:space="0" w:color="2683C6" w:themeColor="accent2"/>
        </w:tcBorders>
      </w:tcPr>
    </w:tblStylePr>
    <w:tblStylePr w:type="band1Vert">
      <w:tblPr/>
      <w:tcPr>
        <w:tcBorders>
          <w:top w:val="single" w:sz="8" w:space="0" w:color="2683C6" w:themeColor="accent2"/>
          <w:left w:val="single" w:sz="8" w:space="0" w:color="2683C6" w:themeColor="accent2"/>
          <w:bottom w:val="single" w:sz="8" w:space="0" w:color="2683C6" w:themeColor="accent2"/>
          <w:right w:val="single" w:sz="8" w:space="0" w:color="2683C6" w:themeColor="accent2"/>
        </w:tcBorders>
        <w:shd w:val="clear" w:color="auto" w:fill="C5E0F4" w:themeFill="accent2" w:themeFillTint="3F"/>
      </w:tcPr>
    </w:tblStylePr>
    <w:tblStylePr w:type="band1Horz">
      <w:tblPr/>
      <w:tcPr>
        <w:tcBorders>
          <w:top w:val="single" w:sz="8" w:space="0" w:color="2683C6" w:themeColor="accent2"/>
          <w:left w:val="single" w:sz="8" w:space="0" w:color="2683C6" w:themeColor="accent2"/>
          <w:bottom w:val="single" w:sz="8" w:space="0" w:color="2683C6" w:themeColor="accent2"/>
          <w:right w:val="single" w:sz="8" w:space="0" w:color="2683C6" w:themeColor="accent2"/>
          <w:insideV w:val="single" w:sz="8" w:space="0" w:color="2683C6" w:themeColor="accent2"/>
        </w:tcBorders>
        <w:shd w:val="clear" w:color="auto" w:fill="C5E0F4" w:themeFill="accent2" w:themeFillTint="3F"/>
      </w:tcPr>
    </w:tblStylePr>
    <w:tblStylePr w:type="band2Horz">
      <w:tblPr/>
      <w:tcPr>
        <w:tcBorders>
          <w:top w:val="single" w:sz="8" w:space="0" w:color="2683C6" w:themeColor="accent2"/>
          <w:left w:val="single" w:sz="8" w:space="0" w:color="2683C6" w:themeColor="accent2"/>
          <w:bottom w:val="single" w:sz="8" w:space="0" w:color="2683C6" w:themeColor="accent2"/>
          <w:right w:val="single" w:sz="8" w:space="0" w:color="2683C6" w:themeColor="accent2"/>
          <w:insideV w:val="single" w:sz="8" w:space="0" w:color="2683C6"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27CED7" w:themeColor="accent3"/>
        <w:left w:val="single" w:sz="8" w:space="0" w:color="27CED7" w:themeColor="accent3"/>
        <w:bottom w:val="single" w:sz="8" w:space="0" w:color="27CED7" w:themeColor="accent3"/>
        <w:right w:val="single" w:sz="8" w:space="0" w:color="27CED7" w:themeColor="accent3"/>
        <w:insideH w:val="single" w:sz="8" w:space="0" w:color="27CED7" w:themeColor="accent3"/>
        <w:insideV w:val="single" w:sz="8" w:space="0" w:color="27CED7"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7CED7" w:themeColor="accent3"/>
          <w:left w:val="single" w:sz="8" w:space="0" w:color="27CED7" w:themeColor="accent3"/>
          <w:bottom w:val="single" w:sz="18" w:space="0" w:color="27CED7" w:themeColor="accent3"/>
          <w:right w:val="single" w:sz="8" w:space="0" w:color="27CED7" w:themeColor="accent3"/>
          <w:insideH w:val="nil"/>
          <w:insideV w:val="single" w:sz="8" w:space="0" w:color="27CED7"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7CED7" w:themeColor="accent3"/>
          <w:left w:val="single" w:sz="8" w:space="0" w:color="27CED7" w:themeColor="accent3"/>
          <w:bottom w:val="single" w:sz="8" w:space="0" w:color="27CED7" w:themeColor="accent3"/>
          <w:right w:val="single" w:sz="8" w:space="0" w:color="27CED7" w:themeColor="accent3"/>
          <w:insideH w:val="nil"/>
          <w:insideV w:val="single" w:sz="8" w:space="0" w:color="27CED7"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7CED7" w:themeColor="accent3"/>
          <w:left w:val="single" w:sz="8" w:space="0" w:color="27CED7" w:themeColor="accent3"/>
          <w:bottom w:val="single" w:sz="8" w:space="0" w:color="27CED7" w:themeColor="accent3"/>
          <w:right w:val="single" w:sz="8" w:space="0" w:color="27CED7" w:themeColor="accent3"/>
        </w:tcBorders>
      </w:tcPr>
    </w:tblStylePr>
    <w:tblStylePr w:type="band1Vert">
      <w:tblPr/>
      <w:tcPr>
        <w:tcBorders>
          <w:top w:val="single" w:sz="8" w:space="0" w:color="27CED7" w:themeColor="accent3"/>
          <w:left w:val="single" w:sz="8" w:space="0" w:color="27CED7" w:themeColor="accent3"/>
          <w:bottom w:val="single" w:sz="8" w:space="0" w:color="27CED7" w:themeColor="accent3"/>
          <w:right w:val="single" w:sz="8" w:space="0" w:color="27CED7" w:themeColor="accent3"/>
        </w:tcBorders>
        <w:shd w:val="clear" w:color="auto" w:fill="C9F2F5" w:themeFill="accent3" w:themeFillTint="3F"/>
      </w:tcPr>
    </w:tblStylePr>
    <w:tblStylePr w:type="band1Horz">
      <w:tblPr/>
      <w:tcPr>
        <w:tcBorders>
          <w:top w:val="single" w:sz="8" w:space="0" w:color="27CED7" w:themeColor="accent3"/>
          <w:left w:val="single" w:sz="8" w:space="0" w:color="27CED7" w:themeColor="accent3"/>
          <w:bottom w:val="single" w:sz="8" w:space="0" w:color="27CED7" w:themeColor="accent3"/>
          <w:right w:val="single" w:sz="8" w:space="0" w:color="27CED7" w:themeColor="accent3"/>
          <w:insideV w:val="single" w:sz="8" w:space="0" w:color="27CED7" w:themeColor="accent3"/>
        </w:tcBorders>
        <w:shd w:val="clear" w:color="auto" w:fill="C9F2F5" w:themeFill="accent3" w:themeFillTint="3F"/>
      </w:tcPr>
    </w:tblStylePr>
    <w:tblStylePr w:type="band2Horz">
      <w:tblPr/>
      <w:tcPr>
        <w:tcBorders>
          <w:top w:val="single" w:sz="8" w:space="0" w:color="27CED7" w:themeColor="accent3"/>
          <w:left w:val="single" w:sz="8" w:space="0" w:color="27CED7" w:themeColor="accent3"/>
          <w:bottom w:val="single" w:sz="8" w:space="0" w:color="27CED7" w:themeColor="accent3"/>
          <w:right w:val="single" w:sz="8" w:space="0" w:color="27CED7" w:themeColor="accent3"/>
          <w:insideV w:val="single" w:sz="8" w:space="0" w:color="27CED7"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42BA97" w:themeColor="accent4"/>
        <w:left w:val="single" w:sz="8" w:space="0" w:color="42BA97" w:themeColor="accent4"/>
        <w:bottom w:val="single" w:sz="8" w:space="0" w:color="42BA97" w:themeColor="accent4"/>
        <w:right w:val="single" w:sz="8" w:space="0" w:color="42BA97" w:themeColor="accent4"/>
        <w:insideH w:val="single" w:sz="8" w:space="0" w:color="42BA97" w:themeColor="accent4"/>
        <w:insideV w:val="single" w:sz="8" w:space="0" w:color="42BA97"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2BA97" w:themeColor="accent4"/>
          <w:left w:val="single" w:sz="8" w:space="0" w:color="42BA97" w:themeColor="accent4"/>
          <w:bottom w:val="single" w:sz="18" w:space="0" w:color="42BA97" w:themeColor="accent4"/>
          <w:right w:val="single" w:sz="8" w:space="0" w:color="42BA97" w:themeColor="accent4"/>
          <w:insideH w:val="nil"/>
          <w:insideV w:val="single" w:sz="8" w:space="0" w:color="42BA97"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2BA97" w:themeColor="accent4"/>
          <w:left w:val="single" w:sz="8" w:space="0" w:color="42BA97" w:themeColor="accent4"/>
          <w:bottom w:val="single" w:sz="8" w:space="0" w:color="42BA97" w:themeColor="accent4"/>
          <w:right w:val="single" w:sz="8" w:space="0" w:color="42BA97" w:themeColor="accent4"/>
          <w:insideH w:val="nil"/>
          <w:insideV w:val="single" w:sz="8" w:space="0" w:color="42BA97"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2BA97" w:themeColor="accent4"/>
          <w:left w:val="single" w:sz="8" w:space="0" w:color="42BA97" w:themeColor="accent4"/>
          <w:bottom w:val="single" w:sz="8" w:space="0" w:color="42BA97" w:themeColor="accent4"/>
          <w:right w:val="single" w:sz="8" w:space="0" w:color="42BA97" w:themeColor="accent4"/>
        </w:tcBorders>
      </w:tcPr>
    </w:tblStylePr>
    <w:tblStylePr w:type="band1Vert">
      <w:tblPr/>
      <w:tcPr>
        <w:tcBorders>
          <w:top w:val="single" w:sz="8" w:space="0" w:color="42BA97" w:themeColor="accent4"/>
          <w:left w:val="single" w:sz="8" w:space="0" w:color="42BA97" w:themeColor="accent4"/>
          <w:bottom w:val="single" w:sz="8" w:space="0" w:color="42BA97" w:themeColor="accent4"/>
          <w:right w:val="single" w:sz="8" w:space="0" w:color="42BA97" w:themeColor="accent4"/>
        </w:tcBorders>
        <w:shd w:val="clear" w:color="auto" w:fill="CFEEE5" w:themeFill="accent4" w:themeFillTint="3F"/>
      </w:tcPr>
    </w:tblStylePr>
    <w:tblStylePr w:type="band1Horz">
      <w:tblPr/>
      <w:tcPr>
        <w:tcBorders>
          <w:top w:val="single" w:sz="8" w:space="0" w:color="42BA97" w:themeColor="accent4"/>
          <w:left w:val="single" w:sz="8" w:space="0" w:color="42BA97" w:themeColor="accent4"/>
          <w:bottom w:val="single" w:sz="8" w:space="0" w:color="42BA97" w:themeColor="accent4"/>
          <w:right w:val="single" w:sz="8" w:space="0" w:color="42BA97" w:themeColor="accent4"/>
          <w:insideV w:val="single" w:sz="8" w:space="0" w:color="42BA97" w:themeColor="accent4"/>
        </w:tcBorders>
        <w:shd w:val="clear" w:color="auto" w:fill="CFEEE5" w:themeFill="accent4" w:themeFillTint="3F"/>
      </w:tcPr>
    </w:tblStylePr>
    <w:tblStylePr w:type="band2Horz">
      <w:tblPr/>
      <w:tcPr>
        <w:tcBorders>
          <w:top w:val="single" w:sz="8" w:space="0" w:color="42BA97" w:themeColor="accent4"/>
          <w:left w:val="single" w:sz="8" w:space="0" w:color="42BA97" w:themeColor="accent4"/>
          <w:bottom w:val="single" w:sz="8" w:space="0" w:color="42BA97" w:themeColor="accent4"/>
          <w:right w:val="single" w:sz="8" w:space="0" w:color="42BA97" w:themeColor="accent4"/>
          <w:insideV w:val="single" w:sz="8" w:space="0" w:color="42BA97"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3E8853" w:themeColor="accent5"/>
        <w:left w:val="single" w:sz="8" w:space="0" w:color="3E8853" w:themeColor="accent5"/>
        <w:bottom w:val="single" w:sz="8" w:space="0" w:color="3E8853" w:themeColor="accent5"/>
        <w:right w:val="single" w:sz="8" w:space="0" w:color="3E8853" w:themeColor="accent5"/>
        <w:insideH w:val="single" w:sz="8" w:space="0" w:color="3E8853" w:themeColor="accent5"/>
        <w:insideV w:val="single" w:sz="8" w:space="0" w:color="3E885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E8853" w:themeColor="accent5"/>
          <w:left w:val="single" w:sz="8" w:space="0" w:color="3E8853" w:themeColor="accent5"/>
          <w:bottom w:val="single" w:sz="18" w:space="0" w:color="3E8853" w:themeColor="accent5"/>
          <w:right w:val="single" w:sz="8" w:space="0" w:color="3E8853" w:themeColor="accent5"/>
          <w:insideH w:val="nil"/>
          <w:insideV w:val="single" w:sz="8" w:space="0" w:color="3E885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E8853" w:themeColor="accent5"/>
          <w:left w:val="single" w:sz="8" w:space="0" w:color="3E8853" w:themeColor="accent5"/>
          <w:bottom w:val="single" w:sz="8" w:space="0" w:color="3E8853" w:themeColor="accent5"/>
          <w:right w:val="single" w:sz="8" w:space="0" w:color="3E8853" w:themeColor="accent5"/>
          <w:insideH w:val="nil"/>
          <w:insideV w:val="single" w:sz="8" w:space="0" w:color="3E885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E8853" w:themeColor="accent5"/>
          <w:left w:val="single" w:sz="8" w:space="0" w:color="3E8853" w:themeColor="accent5"/>
          <w:bottom w:val="single" w:sz="8" w:space="0" w:color="3E8853" w:themeColor="accent5"/>
          <w:right w:val="single" w:sz="8" w:space="0" w:color="3E8853" w:themeColor="accent5"/>
        </w:tcBorders>
      </w:tcPr>
    </w:tblStylePr>
    <w:tblStylePr w:type="band1Vert">
      <w:tblPr/>
      <w:tcPr>
        <w:tcBorders>
          <w:top w:val="single" w:sz="8" w:space="0" w:color="3E8853" w:themeColor="accent5"/>
          <w:left w:val="single" w:sz="8" w:space="0" w:color="3E8853" w:themeColor="accent5"/>
          <w:bottom w:val="single" w:sz="8" w:space="0" w:color="3E8853" w:themeColor="accent5"/>
          <w:right w:val="single" w:sz="8" w:space="0" w:color="3E8853" w:themeColor="accent5"/>
        </w:tcBorders>
        <w:shd w:val="clear" w:color="auto" w:fill="C9E6D2" w:themeFill="accent5" w:themeFillTint="3F"/>
      </w:tcPr>
    </w:tblStylePr>
    <w:tblStylePr w:type="band1Horz">
      <w:tblPr/>
      <w:tcPr>
        <w:tcBorders>
          <w:top w:val="single" w:sz="8" w:space="0" w:color="3E8853" w:themeColor="accent5"/>
          <w:left w:val="single" w:sz="8" w:space="0" w:color="3E8853" w:themeColor="accent5"/>
          <w:bottom w:val="single" w:sz="8" w:space="0" w:color="3E8853" w:themeColor="accent5"/>
          <w:right w:val="single" w:sz="8" w:space="0" w:color="3E8853" w:themeColor="accent5"/>
          <w:insideV w:val="single" w:sz="8" w:space="0" w:color="3E8853" w:themeColor="accent5"/>
        </w:tcBorders>
        <w:shd w:val="clear" w:color="auto" w:fill="C9E6D2" w:themeFill="accent5" w:themeFillTint="3F"/>
      </w:tcPr>
    </w:tblStylePr>
    <w:tblStylePr w:type="band2Horz">
      <w:tblPr/>
      <w:tcPr>
        <w:tcBorders>
          <w:top w:val="single" w:sz="8" w:space="0" w:color="3E8853" w:themeColor="accent5"/>
          <w:left w:val="single" w:sz="8" w:space="0" w:color="3E8853" w:themeColor="accent5"/>
          <w:bottom w:val="single" w:sz="8" w:space="0" w:color="3E8853" w:themeColor="accent5"/>
          <w:right w:val="single" w:sz="8" w:space="0" w:color="3E8853" w:themeColor="accent5"/>
          <w:insideV w:val="single" w:sz="8" w:space="0" w:color="3E8853"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62A39F" w:themeColor="accent6"/>
        <w:left w:val="single" w:sz="8" w:space="0" w:color="62A39F" w:themeColor="accent6"/>
        <w:bottom w:val="single" w:sz="8" w:space="0" w:color="62A39F" w:themeColor="accent6"/>
        <w:right w:val="single" w:sz="8" w:space="0" w:color="62A39F" w:themeColor="accent6"/>
        <w:insideH w:val="single" w:sz="8" w:space="0" w:color="62A39F" w:themeColor="accent6"/>
        <w:insideV w:val="single" w:sz="8" w:space="0" w:color="62A39F"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2A39F" w:themeColor="accent6"/>
          <w:left w:val="single" w:sz="8" w:space="0" w:color="62A39F" w:themeColor="accent6"/>
          <w:bottom w:val="single" w:sz="18" w:space="0" w:color="62A39F" w:themeColor="accent6"/>
          <w:right w:val="single" w:sz="8" w:space="0" w:color="62A39F" w:themeColor="accent6"/>
          <w:insideH w:val="nil"/>
          <w:insideV w:val="single" w:sz="8" w:space="0" w:color="62A39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2A39F" w:themeColor="accent6"/>
          <w:left w:val="single" w:sz="8" w:space="0" w:color="62A39F" w:themeColor="accent6"/>
          <w:bottom w:val="single" w:sz="8" w:space="0" w:color="62A39F" w:themeColor="accent6"/>
          <w:right w:val="single" w:sz="8" w:space="0" w:color="62A39F" w:themeColor="accent6"/>
          <w:insideH w:val="nil"/>
          <w:insideV w:val="single" w:sz="8" w:space="0" w:color="62A39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2A39F" w:themeColor="accent6"/>
          <w:left w:val="single" w:sz="8" w:space="0" w:color="62A39F" w:themeColor="accent6"/>
          <w:bottom w:val="single" w:sz="8" w:space="0" w:color="62A39F" w:themeColor="accent6"/>
          <w:right w:val="single" w:sz="8" w:space="0" w:color="62A39F" w:themeColor="accent6"/>
        </w:tcBorders>
      </w:tcPr>
    </w:tblStylePr>
    <w:tblStylePr w:type="band1Vert">
      <w:tblPr/>
      <w:tcPr>
        <w:tcBorders>
          <w:top w:val="single" w:sz="8" w:space="0" w:color="62A39F" w:themeColor="accent6"/>
          <w:left w:val="single" w:sz="8" w:space="0" w:color="62A39F" w:themeColor="accent6"/>
          <w:bottom w:val="single" w:sz="8" w:space="0" w:color="62A39F" w:themeColor="accent6"/>
          <w:right w:val="single" w:sz="8" w:space="0" w:color="62A39F" w:themeColor="accent6"/>
        </w:tcBorders>
        <w:shd w:val="clear" w:color="auto" w:fill="D8E8E7" w:themeFill="accent6" w:themeFillTint="3F"/>
      </w:tcPr>
    </w:tblStylePr>
    <w:tblStylePr w:type="band1Horz">
      <w:tblPr/>
      <w:tcPr>
        <w:tcBorders>
          <w:top w:val="single" w:sz="8" w:space="0" w:color="62A39F" w:themeColor="accent6"/>
          <w:left w:val="single" w:sz="8" w:space="0" w:color="62A39F" w:themeColor="accent6"/>
          <w:bottom w:val="single" w:sz="8" w:space="0" w:color="62A39F" w:themeColor="accent6"/>
          <w:right w:val="single" w:sz="8" w:space="0" w:color="62A39F" w:themeColor="accent6"/>
          <w:insideV w:val="single" w:sz="8" w:space="0" w:color="62A39F" w:themeColor="accent6"/>
        </w:tcBorders>
        <w:shd w:val="clear" w:color="auto" w:fill="D8E8E7" w:themeFill="accent6" w:themeFillTint="3F"/>
      </w:tcPr>
    </w:tblStylePr>
    <w:tblStylePr w:type="band2Horz">
      <w:tblPr/>
      <w:tcPr>
        <w:tcBorders>
          <w:top w:val="single" w:sz="8" w:space="0" w:color="62A39F" w:themeColor="accent6"/>
          <w:left w:val="single" w:sz="8" w:space="0" w:color="62A39F" w:themeColor="accent6"/>
          <w:bottom w:val="single" w:sz="8" w:space="0" w:color="62A39F" w:themeColor="accent6"/>
          <w:right w:val="single" w:sz="8" w:space="0" w:color="62A39F" w:themeColor="accent6"/>
          <w:insideV w:val="single" w:sz="8" w:space="0" w:color="62A39F"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54C1EA" w:themeColor="accent1" w:themeTint="BF"/>
        <w:left w:val="single" w:sz="8" w:space="0" w:color="54C1EA" w:themeColor="accent1" w:themeTint="BF"/>
        <w:bottom w:val="single" w:sz="8" w:space="0" w:color="54C1EA" w:themeColor="accent1" w:themeTint="BF"/>
        <w:right w:val="single" w:sz="8" w:space="0" w:color="54C1EA" w:themeColor="accent1" w:themeTint="BF"/>
        <w:insideH w:val="single" w:sz="8" w:space="0" w:color="54C1EA" w:themeColor="accent1" w:themeTint="BF"/>
      </w:tblBorders>
    </w:tblPr>
    <w:tblStylePr w:type="firstRow">
      <w:pPr>
        <w:spacing w:before="0" w:after="0" w:line="240" w:lineRule="auto"/>
      </w:pPr>
      <w:rPr>
        <w:b/>
        <w:bCs/>
        <w:color w:val="FFFFFF" w:themeColor="background1"/>
      </w:rPr>
      <w:tblPr/>
      <w:tcPr>
        <w:tcBorders>
          <w:top w:val="single" w:sz="8" w:space="0" w:color="54C1EA" w:themeColor="accent1" w:themeTint="BF"/>
          <w:left w:val="single" w:sz="8" w:space="0" w:color="54C1EA" w:themeColor="accent1" w:themeTint="BF"/>
          <w:bottom w:val="single" w:sz="8" w:space="0" w:color="54C1EA" w:themeColor="accent1" w:themeTint="BF"/>
          <w:right w:val="single" w:sz="8" w:space="0" w:color="54C1EA" w:themeColor="accent1" w:themeTint="BF"/>
          <w:insideH w:val="nil"/>
          <w:insideV w:val="nil"/>
        </w:tcBorders>
        <w:shd w:val="clear" w:color="auto" w:fill="1CADE4" w:themeFill="accent1"/>
      </w:tcPr>
    </w:tblStylePr>
    <w:tblStylePr w:type="lastRow">
      <w:pPr>
        <w:spacing w:before="0" w:after="0" w:line="240" w:lineRule="auto"/>
      </w:pPr>
      <w:rPr>
        <w:b/>
        <w:bCs/>
      </w:rPr>
      <w:tblPr/>
      <w:tcPr>
        <w:tcBorders>
          <w:top w:val="double" w:sz="6" w:space="0" w:color="54C1EA" w:themeColor="accent1" w:themeTint="BF"/>
          <w:left w:val="single" w:sz="8" w:space="0" w:color="54C1EA" w:themeColor="accent1" w:themeTint="BF"/>
          <w:bottom w:val="single" w:sz="8" w:space="0" w:color="54C1EA" w:themeColor="accent1" w:themeTint="BF"/>
          <w:right w:val="single" w:sz="8" w:space="0" w:color="54C1EA" w:themeColor="accent1" w:themeTint="BF"/>
          <w:insideH w:val="nil"/>
          <w:insideV w:val="nil"/>
        </w:tcBorders>
      </w:tcPr>
    </w:tblStylePr>
    <w:tblStylePr w:type="firstCol">
      <w:rPr>
        <w:b/>
        <w:bCs/>
      </w:rPr>
    </w:tblStylePr>
    <w:tblStylePr w:type="lastCol">
      <w:rPr>
        <w:b/>
        <w:bCs/>
      </w:rPr>
    </w:tblStylePr>
    <w:tblStylePr w:type="band1Vert">
      <w:tblPr/>
      <w:tcPr>
        <w:shd w:val="clear" w:color="auto" w:fill="C6EAF8" w:themeFill="accent1" w:themeFillTint="3F"/>
      </w:tcPr>
    </w:tblStylePr>
    <w:tblStylePr w:type="band1Horz">
      <w:tblPr/>
      <w:tcPr>
        <w:tcBorders>
          <w:insideH w:val="nil"/>
          <w:insideV w:val="nil"/>
        </w:tcBorders>
        <w:shd w:val="clear" w:color="auto" w:fill="C6EAF8"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52A3DE" w:themeColor="accent2" w:themeTint="BF"/>
        <w:left w:val="single" w:sz="8" w:space="0" w:color="52A3DE" w:themeColor="accent2" w:themeTint="BF"/>
        <w:bottom w:val="single" w:sz="8" w:space="0" w:color="52A3DE" w:themeColor="accent2" w:themeTint="BF"/>
        <w:right w:val="single" w:sz="8" w:space="0" w:color="52A3DE" w:themeColor="accent2" w:themeTint="BF"/>
        <w:insideH w:val="single" w:sz="8" w:space="0" w:color="52A3DE" w:themeColor="accent2" w:themeTint="BF"/>
      </w:tblBorders>
    </w:tblPr>
    <w:tblStylePr w:type="firstRow">
      <w:pPr>
        <w:spacing w:before="0" w:after="0" w:line="240" w:lineRule="auto"/>
      </w:pPr>
      <w:rPr>
        <w:b/>
        <w:bCs/>
        <w:color w:val="FFFFFF" w:themeColor="background1"/>
      </w:rPr>
      <w:tblPr/>
      <w:tcPr>
        <w:tcBorders>
          <w:top w:val="single" w:sz="8" w:space="0" w:color="52A3DE" w:themeColor="accent2" w:themeTint="BF"/>
          <w:left w:val="single" w:sz="8" w:space="0" w:color="52A3DE" w:themeColor="accent2" w:themeTint="BF"/>
          <w:bottom w:val="single" w:sz="8" w:space="0" w:color="52A3DE" w:themeColor="accent2" w:themeTint="BF"/>
          <w:right w:val="single" w:sz="8" w:space="0" w:color="52A3DE" w:themeColor="accent2" w:themeTint="BF"/>
          <w:insideH w:val="nil"/>
          <w:insideV w:val="nil"/>
        </w:tcBorders>
        <w:shd w:val="clear" w:color="auto" w:fill="2683C6" w:themeFill="accent2"/>
      </w:tcPr>
    </w:tblStylePr>
    <w:tblStylePr w:type="lastRow">
      <w:pPr>
        <w:spacing w:before="0" w:after="0" w:line="240" w:lineRule="auto"/>
      </w:pPr>
      <w:rPr>
        <w:b/>
        <w:bCs/>
      </w:rPr>
      <w:tblPr/>
      <w:tcPr>
        <w:tcBorders>
          <w:top w:val="double" w:sz="6" w:space="0" w:color="52A3DE" w:themeColor="accent2" w:themeTint="BF"/>
          <w:left w:val="single" w:sz="8" w:space="0" w:color="52A3DE" w:themeColor="accent2" w:themeTint="BF"/>
          <w:bottom w:val="single" w:sz="8" w:space="0" w:color="52A3DE" w:themeColor="accent2" w:themeTint="BF"/>
          <w:right w:val="single" w:sz="8" w:space="0" w:color="52A3DE" w:themeColor="accent2" w:themeTint="BF"/>
          <w:insideH w:val="nil"/>
          <w:insideV w:val="nil"/>
        </w:tcBorders>
      </w:tcPr>
    </w:tblStylePr>
    <w:tblStylePr w:type="firstCol">
      <w:rPr>
        <w:b/>
        <w:bCs/>
      </w:rPr>
    </w:tblStylePr>
    <w:tblStylePr w:type="lastCol">
      <w:rPr>
        <w:b/>
        <w:bCs/>
      </w:rPr>
    </w:tblStylePr>
    <w:tblStylePr w:type="band1Vert">
      <w:tblPr/>
      <w:tcPr>
        <w:shd w:val="clear" w:color="auto" w:fill="C5E0F4" w:themeFill="accent2" w:themeFillTint="3F"/>
      </w:tcPr>
    </w:tblStylePr>
    <w:tblStylePr w:type="band1Horz">
      <w:tblPr/>
      <w:tcPr>
        <w:tcBorders>
          <w:insideH w:val="nil"/>
          <w:insideV w:val="nil"/>
        </w:tcBorders>
        <w:shd w:val="clear" w:color="auto" w:fill="C5E0F4"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5CDAE1" w:themeColor="accent3" w:themeTint="BF"/>
        <w:left w:val="single" w:sz="8" w:space="0" w:color="5CDAE1" w:themeColor="accent3" w:themeTint="BF"/>
        <w:bottom w:val="single" w:sz="8" w:space="0" w:color="5CDAE1" w:themeColor="accent3" w:themeTint="BF"/>
        <w:right w:val="single" w:sz="8" w:space="0" w:color="5CDAE1" w:themeColor="accent3" w:themeTint="BF"/>
        <w:insideH w:val="single" w:sz="8" w:space="0" w:color="5CDAE1" w:themeColor="accent3" w:themeTint="BF"/>
      </w:tblBorders>
    </w:tblPr>
    <w:tblStylePr w:type="firstRow">
      <w:pPr>
        <w:spacing w:before="0" w:after="0" w:line="240" w:lineRule="auto"/>
      </w:pPr>
      <w:rPr>
        <w:b/>
        <w:bCs/>
        <w:color w:val="FFFFFF" w:themeColor="background1"/>
      </w:rPr>
      <w:tblPr/>
      <w:tcPr>
        <w:tcBorders>
          <w:top w:val="single" w:sz="8" w:space="0" w:color="5CDAE1" w:themeColor="accent3" w:themeTint="BF"/>
          <w:left w:val="single" w:sz="8" w:space="0" w:color="5CDAE1" w:themeColor="accent3" w:themeTint="BF"/>
          <w:bottom w:val="single" w:sz="8" w:space="0" w:color="5CDAE1" w:themeColor="accent3" w:themeTint="BF"/>
          <w:right w:val="single" w:sz="8" w:space="0" w:color="5CDAE1" w:themeColor="accent3" w:themeTint="BF"/>
          <w:insideH w:val="nil"/>
          <w:insideV w:val="nil"/>
        </w:tcBorders>
        <w:shd w:val="clear" w:color="auto" w:fill="27CED7" w:themeFill="accent3"/>
      </w:tcPr>
    </w:tblStylePr>
    <w:tblStylePr w:type="lastRow">
      <w:pPr>
        <w:spacing w:before="0" w:after="0" w:line="240" w:lineRule="auto"/>
      </w:pPr>
      <w:rPr>
        <w:b/>
        <w:bCs/>
      </w:rPr>
      <w:tblPr/>
      <w:tcPr>
        <w:tcBorders>
          <w:top w:val="double" w:sz="6" w:space="0" w:color="5CDAE1" w:themeColor="accent3" w:themeTint="BF"/>
          <w:left w:val="single" w:sz="8" w:space="0" w:color="5CDAE1" w:themeColor="accent3" w:themeTint="BF"/>
          <w:bottom w:val="single" w:sz="8" w:space="0" w:color="5CDAE1" w:themeColor="accent3" w:themeTint="BF"/>
          <w:right w:val="single" w:sz="8" w:space="0" w:color="5CDAE1" w:themeColor="accent3" w:themeTint="BF"/>
          <w:insideH w:val="nil"/>
          <w:insideV w:val="nil"/>
        </w:tcBorders>
      </w:tcPr>
    </w:tblStylePr>
    <w:tblStylePr w:type="firstCol">
      <w:rPr>
        <w:b/>
        <w:bCs/>
      </w:rPr>
    </w:tblStylePr>
    <w:tblStylePr w:type="lastCol">
      <w:rPr>
        <w:b/>
        <w:bCs/>
      </w:rPr>
    </w:tblStylePr>
    <w:tblStylePr w:type="band1Vert">
      <w:tblPr/>
      <w:tcPr>
        <w:shd w:val="clear" w:color="auto" w:fill="C9F2F5" w:themeFill="accent3" w:themeFillTint="3F"/>
      </w:tcPr>
    </w:tblStylePr>
    <w:tblStylePr w:type="band1Horz">
      <w:tblPr/>
      <w:tcPr>
        <w:tcBorders>
          <w:insideH w:val="nil"/>
          <w:insideV w:val="nil"/>
        </w:tcBorders>
        <w:shd w:val="clear" w:color="auto" w:fill="C9F2F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70CCB1" w:themeColor="accent4" w:themeTint="BF"/>
        <w:left w:val="single" w:sz="8" w:space="0" w:color="70CCB1" w:themeColor="accent4" w:themeTint="BF"/>
        <w:bottom w:val="single" w:sz="8" w:space="0" w:color="70CCB1" w:themeColor="accent4" w:themeTint="BF"/>
        <w:right w:val="single" w:sz="8" w:space="0" w:color="70CCB1" w:themeColor="accent4" w:themeTint="BF"/>
        <w:insideH w:val="single" w:sz="8" w:space="0" w:color="70CCB1" w:themeColor="accent4" w:themeTint="BF"/>
      </w:tblBorders>
    </w:tblPr>
    <w:tblStylePr w:type="firstRow">
      <w:pPr>
        <w:spacing w:before="0" w:after="0" w:line="240" w:lineRule="auto"/>
      </w:pPr>
      <w:rPr>
        <w:b/>
        <w:bCs/>
        <w:color w:val="FFFFFF" w:themeColor="background1"/>
      </w:rPr>
      <w:tblPr/>
      <w:tcPr>
        <w:tcBorders>
          <w:top w:val="single" w:sz="8" w:space="0" w:color="70CCB1" w:themeColor="accent4" w:themeTint="BF"/>
          <w:left w:val="single" w:sz="8" w:space="0" w:color="70CCB1" w:themeColor="accent4" w:themeTint="BF"/>
          <w:bottom w:val="single" w:sz="8" w:space="0" w:color="70CCB1" w:themeColor="accent4" w:themeTint="BF"/>
          <w:right w:val="single" w:sz="8" w:space="0" w:color="70CCB1" w:themeColor="accent4" w:themeTint="BF"/>
          <w:insideH w:val="nil"/>
          <w:insideV w:val="nil"/>
        </w:tcBorders>
        <w:shd w:val="clear" w:color="auto" w:fill="42BA97" w:themeFill="accent4"/>
      </w:tcPr>
    </w:tblStylePr>
    <w:tblStylePr w:type="lastRow">
      <w:pPr>
        <w:spacing w:before="0" w:after="0" w:line="240" w:lineRule="auto"/>
      </w:pPr>
      <w:rPr>
        <w:b/>
        <w:bCs/>
      </w:rPr>
      <w:tblPr/>
      <w:tcPr>
        <w:tcBorders>
          <w:top w:val="double" w:sz="6" w:space="0" w:color="70CCB1" w:themeColor="accent4" w:themeTint="BF"/>
          <w:left w:val="single" w:sz="8" w:space="0" w:color="70CCB1" w:themeColor="accent4" w:themeTint="BF"/>
          <w:bottom w:val="single" w:sz="8" w:space="0" w:color="70CCB1" w:themeColor="accent4" w:themeTint="BF"/>
          <w:right w:val="single" w:sz="8" w:space="0" w:color="70CCB1" w:themeColor="accent4" w:themeTint="BF"/>
          <w:insideH w:val="nil"/>
          <w:insideV w:val="nil"/>
        </w:tcBorders>
      </w:tcPr>
    </w:tblStylePr>
    <w:tblStylePr w:type="firstCol">
      <w:rPr>
        <w:b/>
        <w:bCs/>
      </w:rPr>
    </w:tblStylePr>
    <w:tblStylePr w:type="lastCol">
      <w:rPr>
        <w:b/>
        <w:bCs/>
      </w:rPr>
    </w:tblStylePr>
    <w:tblStylePr w:type="band1Vert">
      <w:tblPr/>
      <w:tcPr>
        <w:shd w:val="clear" w:color="auto" w:fill="CFEEE5" w:themeFill="accent4" w:themeFillTint="3F"/>
      </w:tcPr>
    </w:tblStylePr>
    <w:tblStylePr w:type="band1Horz">
      <w:tblPr/>
      <w:tcPr>
        <w:tcBorders>
          <w:insideH w:val="nil"/>
          <w:insideV w:val="nil"/>
        </w:tcBorders>
        <w:shd w:val="clear" w:color="auto" w:fill="CFEEE5"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5EB576" w:themeColor="accent5" w:themeTint="BF"/>
        <w:left w:val="single" w:sz="8" w:space="0" w:color="5EB576" w:themeColor="accent5" w:themeTint="BF"/>
        <w:bottom w:val="single" w:sz="8" w:space="0" w:color="5EB576" w:themeColor="accent5" w:themeTint="BF"/>
        <w:right w:val="single" w:sz="8" w:space="0" w:color="5EB576" w:themeColor="accent5" w:themeTint="BF"/>
        <w:insideH w:val="single" w:sz="8" w:space="0" w:color="5EB576" w:themeColor="accent5" w:themeTint="BF"/>
      </w:tblBorders>
    </w:tblPr>
    <w:tblStylePr w:type="firstRow">
      <w:pPr>
        <w:spacing w:before="0" w:after="0" w:line="240" w:lineRule="auto"/>
      </w:pPr>
      <w:rPr>
        <w:b/>
        <w:bCs/>
        <w:color w:val="FFFFFF" w:themeColor="background1"/>
      </w:rPr>
      <w:tblPr/>
      <w:tcPr>
        <w:tcBorders>
          <w:top w:val="single" w:sz="8" w:space="0" w:color="5EB576" w:themeColor="accent5" w:themeTint="BF"/>
          <w:left w:val="single" w:sz="8" w:space="0" w:color="5EB576" w:themeColor="accent5" w:themeTint="BF"/>
          <w:bottom w:val="single" w:sz="8" w:space="0" w:color="5EB576" w:themeColor="accent5" w:themeTint="BF"/>
          <w:right w:val="single" w:sz="8" w:space="0" w:color="5EB576" w:themeColor="accent5" w:themeTint="BF"/>
          <w:insideH w:val="nil"/>
          <w:insideV w:val="nil"/>
        </w:tcBorders>
        <w:shd w:val="clear" w:color="auto" w:fill="3E8853" w:themeFill="accent5"/>
      </w:tcPr>
    </w:tblStylePr>
    <w:tblStylePr w:type="lastRow">
      <w:pPr>
        <w:spacing w:before="0" w:after="0" w:line="240" w:lineRule="auto"/>
      </w:pPr>
      <w:rPr>
        <w:b/>
        <w:bCs/>
      </w:rPr>
      <w:tblPr/>
      <w:tcPr>
        <w:tcBorders>
          <w:top w:val="double" w:sz="6" w:space="0" w:color="5EB576" w:themeColor="accent5" w:themeTint="BF"/>
          <w:left w:val="single" w:sz="8" w:space="0" w:color="5EB576" w:themeColor="accent5" w:themeTint="BF"/>
          <w:bottom w:val="single" w:sz="8" w:space="0" w:color="5EB576" w:themeColor="accent5" w:themeTint="BF"/>
          <w:right w:val="single" w:sz="8" w:space="0" w:color="5EB576" w:themeColor="accent5" w:themeTint="BF"/>
          <w:insideH w:val="nil"/>
          <w:insideV w:val="nil"/>
        </w:tcBorders>
      </w:tcPr>
    </w:tblStylePr>
    <w:tblStylePr w:type="firstCol">
      <w:rPr>
        <w:b/>
        <w:bCs/>
      </w:rPr>
    </w:tblStylePr>
    <w:tblStylePr w:type="lastCol">
      <w:rPr>
        <w:b/>
        <w:bCs/>
      </w:rPr>
    </w:tblStylePr>
    <w:tblStylePr w:type="band1Vert">
      <w:tblPr/>
      <w:tcPr>
        <w:shd w:val="clear" w:color="auto" w:fill="C9E6D2" w:themeFill="accent5" w:themeFillTint="3F"/>
      </w:tcPr>
    </w:tblStylePr>
    <w:tblStylePr w:type="band1Horz">
      <w:tblPr/>
      <w:tcPr>
        <w:tcBorders>
          <w:insideH w:val="nil"/>
          <w:insideV w:val="nil"/>
        </w:tcBorders>
        <w:shd w:val="clear" w:color="auto" w:fill="C9E6D2"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89BAB7" w:themeColor="accent6" w:themeTint="BF"/>
        <w:left w:val="single" w:sz="8" w:space="0" w:color="89BAB7" w:themeColor="accent6" w:themeTint="BF"/>
        <w:bottom w:val="single" w:sz="8" w:space="0" w:color="89BAB7" w:themeColor="accent6" w:themeTint="BF"/>
        <w:right w:val="single" w:sz="8" w:space="0" w:color="89BAB7" w:themeColor="accent6" w:themeTint="BF"/>
        <w:insideH w:val="single" w:sz="8" w:space="0" w:color="89BAB7" w:themeColor="accent6" w:themeTint="BF"/>
      </w:tblBorders>
    </w:tblPr>
    <w:tblStylePr w:type="firstRow">
      <w:pPr>
        <w:spacing w:before="0" w:after="0" w:line="240" w:lineRule="auto"/>
      </w:pPr>
      <w:rPr>
        <w:b/>
        <w:bCs/>
        <w:color w:val="FFFFFF" w:themeColor="background1"/>
      </w:rPr>
      <w:tblPr/>
      <w:tcPr>
        <w:tcBorders>
          <w:top w:val="single" w:sz="8" w:space="0" w:color="89BAB7" w:themeColor="accent6" w:themeTint="BF"/>
          <w:left w:val="single" w:sz="8" w:space="0" w:color="89BAB7" w:themeColor="accent6" w:themeTint="BF"/>
          <w:bottom w:val="single" w:sz="8" w:space="0" w:color="89BAB7" w:themeColor="accent6" w:themeTint="BF"/>
          <w:right w:val="single" w:sz="8" w:space="0" w:color="89BAB7" w:themeColor="accent6" w:themeTint="BF"/>
          <w:insideH w:val="nil"/>
          <w:insideV w:val="nil"/>
        </w:tcBorders>
        <w:shd w:val="clear" w:color="auto" w:fill="62A39F" w:themeFill="accent6"/>
      </w:tcPr>
    </w:tblStylePr>
    <w:tblStylePr w:type="lastRow">
      <w:pPr>
        <w:spacing w:before="0" w:after="0" w:line="240" w:lineRule="auto"/>
      </w:pPr>
      <w:rPr>
        <w:b/>
        <w:bCs/>
      </w:rPr>
      <w:tblPr/>
      <w:tcPr>
        <w:tcBorders>
          <w:top w:val="double" w:sz="6" w:space="0" w:color="89BAB7" w:themeColor="accent6" w:themeTint="BF"/>
          <w:left w:val="single" w:sz="8" w:space="0" w:color="89BAB7" w:themeColor="accent6" w:themeTint="BF"/>
          <w:bottom w:val="single" w:sz="8" w:space="0" w:color="89BAB7" w:themeColor="accent6" w:themeTint="BF"/>
          <w:right w:val="single" w:sz="8" w:space="0" w:color="89BAB7" w:themeColor="accent6" w:themeTint="BF"/>
          <w:insideH w:val="nil"/>
          <w:insideV w:val="nil"/>
        </w:tcBorders>
      </w:tcPr>
    </w:tblStylePr>
    <w:tblStylePr w:type="firstCol">
      <w:rPr>
        <w:b/>
        <w:bCs/>
      </w:rPr>
    </w:tblStylePr>
    <w:tblStylePr w:type="lastCol">
      <w:rPr>
        <w:b/>
        <w:bCs/>
      </w:rPr>
    </w:tblStylePr>
    <w:tblStylePr w:type="band1Vert">
      <w:tblPr/>
      <w:tcPr>
        <w:shd w:val="clear" w:color="auto" w:fill="D8E8E7" w:themeFill="accent6" w:themeFillTint="3F"/>
      </w:tcPr>
    </w:tblStylePr>
    <w:tblStylePr w:type="band1Horz">
      <w:tblPr/>
      <w:tcPr>
        <w:tcBorders>
          <w:insideH w:val="nil"/>
          <w:insideV w:val="nil"/>
        </w:tcBorders>
        <w:shd w:val="clear" w:color="auto" w:fill="D8E8E7"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CADE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CADE4" w:themeFill="accent1"/>
      </w:tcPr>
    </w:tblStylePr>
    <w:tblStylePr w:type="lastCol">
      <w:rPr>
        <w:b/>
        <w:bCs/>
        <w:color w:val="FFFFFF" w:themeColor="background1"/>
      </w:rPr>
      <w:tblPr/>
      <w:tcPr>
        <w:tcBorders>
          <w:left w:val="nil"/>
          <w:right w:val="nil"/>
          <w:insideH w:val="nil"/>
          <w:insideV w:val="nil"/>
        </w:tcBorders>
        <w:shd w:val="clear" w:color="auto" w:fill="1CADE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683C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683C6" w:themeFill="accent2"/>
      </w:tcPr>
    </w:tblStylePr>
    <w:tblStylePr w:type="lastCol">
      <w:rPr>
        <w:b/>
        <w:bCs/>
        <w:color w:val="FFFFFF" w:themeColor="background1"/>
      </w:rPr>
      <w:tblPr/>
      <w:tcPr>
        <w:tcBorders>
          <w:left w:val="nil"/>
          <w:right w:val="nil"/>
          <w:insideH w:val="nil"/>
          <w:insideV w:val="nil"/>
        </w:tcBorders>
        <w:shd w:val="clear" w:color="auto" w:fill="2683C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7CED7"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7CED7" w:themeFill="accent3"/>
      </w:tcPr>
    </w:tblStylePr>
    <w:tblStylePr w:type="lastCol">
      <w:rPr>
        <w:b/>
        <w:bCs/>
        <w:color w:val="FFFFFF" w:themeColor="background1"/>
      </w:rPr>
      <w:tblPr/>
      <w:tcPr>
        <w:tcBorders>
          <w:left w:val="nil"/>
          <w:right w:val="nil"/>
          <w:insideH w:val="nil"/>
          <w:insideV w:val="nil"/>
        </w:tcBorders>
        <w:shd w:val="clear" w:color="auto" w:fill="27CED7"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2BA97"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2BA97" w:themeFill="accent4"/>
      </w:tcPr>
    </w:tblStylePr>
    <w:tblStylePr w:type="lastCol">
      <w:rPr>
        <w:b/>
        <w:bCs/>
        <w:color w:val="FFFFFF" w:themeColor="background1"/>
      </w:rPr>
      <w:tblPr/>
      <w:tcPr>
        <w:tcBorders>
          <w:left w:val="nil"/>
          <w:right w:val="nil"/>
          <w:insideH w:val="nil"/>
          <w:insideV w:val="nil"/>
        </w:tcBorders>
        <w:shd w:val="clear" w:color="auto" w:fill="42BA97"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E885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3E8853" w:themeFill="accent5"/>
      </w:tcPr>
    </w:tblStylePr>
    <w:tblStylePr w:type="lastCol">
      <w:rPr>
        <w:b/>
        <w:bCs/>
        <w:color w:val="FFFFFF" w:themeColor="background1"/>
      </w:rPr>
      <w:tblPr/>
      <w:tcPr>
        <w:tcBorders>
          <w:left w:val="nil"/>
          <w:right w:val="nil"/>
          <w:insideH w:val="nil"/>
          <w:insideV w:val="nil"/>
        </w:tcBorders>
        <w:shd w:val="clear" w:color="auto" w:fill="3E885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2A39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2A39F" w:themeFill="accent6"/>
      </w:tcPr>
    </w:tblStylePr>
    <w:tblStylePr w:type="lastCol">
      <w:rPr>
        <w:b/>
        <w:bCs/>
        <w:color w:val="FFFFFF" w:themeColor="background1"/>
      </w:rPr>
      <w:tblPr/>
      <w:tcPr>
        <w:tcBorders>
          <w:left w:val="nil"/>
          <w:right w:val="nil"/>
          <w:insideH w:val="nil"/>
          <w:insideV w:val="nil"/>
        </w:tcBorders>
        <w:shd w:val="clear" w:color="auto" w:fill="62A39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35B7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1CADE4" w:themeColor="accent1"/>
        <w:bottom w:val="single" w:sz="8" w:space="0" w:color="1CADE4" w:themeColor="accent1"/>
      </w:tblBorders>
    </w:tblPr>
    <w:tblStylePr w:type="firstRow">
      <w:rPr>
        <w:rFonts w:asciiTheme="majorHAnsi" w:eastAsiaTheme="majorEastAsia" w:hAnsiTheme="majorHAnsi" w:cstheme="majorBidi"/>
      </w:rPr>
      <w:tblPr/>
      <w:tcPr>
        <w:tcBorders>
          <w:top w:val="nil"/>
          <w:bottom w:val="single" w:sz="8" w:space="0" w:color="1CADE4" w:themeColor="accent1"/>
        </w:tcBorders>
      </w:tcPr>
    </w:tblStylePr>
    <w:tblStylePr w:type="lastRow">
      <w:rPr>
        <w:b/>
        <w:bCs/>
        <w:color w:val="335B74" w:themeColor="text2"/>
      </w:rPr>
      <w:tblPr/>
      <w:tcPr>
        <w:tcBorders>
          <w:top w:val="single" w:sz="8" w:space="0" w:color="1CADE4" w:themeColor="accent1"/>
          <w:bottom w:val="single" w:sz="8" w:space="0" w:color="1CADE4" w:themeColor="accent1"/>
        </w:tcBorders>
      </w:tcPr>
    </w:tblStylePr>
    <w:tblStylePr w:type="firstCol">
      <w:rPr>
        <w:b/>
        <w:bCs/>
      </w:rPr>
    </w:tblStylePr>
    <w:tblStylePr w:type="lastCol">
      <w:rPr>
        <w:b/>
        <w:bCs/>
      </w:rPr>
      <w:tblPr/>
      <w:tcPr>
        <w:tcBorders>
          <w:top w:val="single" w:sz="8" w:space="0" w:color="1CADE4" w:themeColor="accent1"/>
          <w:bottom w:val="single" w:sz="8" w:space="0" w:color="1CADE4" w:themeColor="accent1"/>
        </w:tcBorders>
      </w:tcPr>
    </w:tblStylePr>
    <w:tblStylePr w:type="band1Vert">
      <w:tblPr/>
      <w:tcPr>
        <w:shd w:val="clear" w:color="auto" w:fill="C6EAF8" w:themeFill="accent1" w:themeFillTint="3F"/>
      </w:tcPr>
    </w:tblStylePr>
    <w:tblStylePr w:type="band1Horz">
      <w:tblPr/>
      <w:tcPr>
        <w:shd w:val="clear" w:color="auto" w:fill="C6EAF8"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2683C6" w:themeColor="accent2"/>
        <w:bottom w:val="single" w:sz="8" w:space="0" w:color="2683C6" w:themeColor="accent2"/>
      </w:tblBorders>
    </w:tblPr>
    <w:tblStylePr w:type="firstRow">
      <w:rPr>
        <w:rFonts w:asciiTheme="majorHAnsi" w:eastAsiaTheme="majorEastAsia" w:hAnsiTheme="majorHAnsi" w:cstheme="majorBidi"/>
      </w:rPr>
      <w:tblPr/>
      <w:tcPr>
        <w:tcBorders>
          <w:top w:val="nil"/>
          <w:bottom w:val="single" w:sz="8" w:space="0" w:color="2683C6" w:themeColor="accent2"/>
        </w:tcBorders>
      </w:tcPr>
    </w:tblStylePr>
    <w:tblStylePr w:type="lastRow">
      <w:rPr>
        <w:b/>
        <w:bCs/>
        <w:color w:val="335B74" w:themeColor="text2"/>
      </w:rPr>
      <w:tblPr/>
      <w:tcPr>
        <w:tcBorders>
          <w:top w:val="single" w:sz="8" w:space="0" w:color="2683C6" w:themeColor="accent2"/>
          <w:bottom w:val="single" w:sz="8" w:space="0" w:color="2683C6" w:themeColor="accent2"/>
        </w:tcBorders>
      </w:tcPr>
    </w:tblStylePr>
    <w:tblStylePr w:type="firstCol">
      <w:rPr>
        <w:b/>
        <w:bCs/>
      </w:rPr>
    </w:tblStylePr>
    <w:tblStylePr w:type="lastCol">
      <w:rPr>
        <w:b/>
        <w:bCs/>
      </w:rPr>
      <w:tblPr/>
      <w:tcPr>
        <w:tcBorders>
          <w:top w:val="single" w:sz="8" w:space="0" w:color="2683C6" w:themeColor="accent2"/>
          <w:bottom w:val="single" w:sz="8" w:space="0" w:color="2683C6" w:themeColor="accent2"/>
        </w:tcBorders>
      </w:tcPr>
    </w:tblStylePr>
    <w:tblStylePr w:type="band1Vert">
      <w:tblPr/>
      <w:tcPr>
        <w:shd w:val="clear" w:color="auto" w:fill="C5E0F4" w:themeFill="accent2" w:themeFillTint="3F"/>
      </w:tcPr>
    </w:tblStylePr>
    <w:tblStylePr w:type="band1Horz">
      <w:tblPr/>
      <w:tcPr>
        <w:shd w:val="clear" w:color="auto" w:fill="C5E0F4"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27CED7" w:themeColor="accent3"/>
        <w:bottom w:val="single" w:sz="8" w:space="0" w:color="27CED7" w:themeColor="accent3"/>
      </w:tblBorders>
    </w:tblPr>
    <w:tblStylePr w:type="firstRow">
      <w:rPr>
        <w:rFonts w:asciiTheme="majorHAnsi" w:eastAsiaTheme="majorEastAsia" w:hAnsiTheme="majorHAnsi" w:cstheme="majorBidi"/>
      </w:rPr>
      <w:tblPr/>
      <w:tcPr>
        <w:tcBorders>
          <w:top w:val="nil"/>
          <w:bottom w:val="single" w:sz="8" w:space="0" w:color="27CED7" w:themeColor="accent3"/>
        </w:tcBorders>
      </w:tcPr>
    </w:tblStylePr>
    <w:tblStylePr w:type="lastRow">
      <w:rPr>
        <w:b/>
        <w:bCs/>
        <w:color w:val="335B74" w:themeColor="text2"/>
      </w:rPr>
      <w:tblPr/>
      <w:tcPr>
        <w:tcBorders>
          <w:top w:val="single" w:sz="8" w:space="0" w:color="27CED7" w:themeColor="accent3"/>
          <w:bottom w:val="single" w:sz="8" w:space="0" w:color="27CED7" w:themeColor="accent3"/>
        </w:tcBorders>
      </w:tcPr>
    </w:tblStylePr>
    <w:tblStylePr w:type="firstCol">
      <w:rPr>
        <w:b/>
        <w:bCs/>
      </w:rPr>
    </w:tblStylePr>
    <w:tblStylePr w:type="lastCol">
      <w:rPr>
        <w:b/>
        <w:bCs/>
      </w:rPr>
      <w:tblPr/>
      <w:tcPr>
        <w:tcBorders>
          <w:top w:val="single" w:sz="8" w:space="0" w:color="27CED7" w:themeColor="accent3"/>
          <w:bottom w:val="single" w:sz="8" w:space="0" w:color="27CED7" w:themeColor="accent3"/>
        </w:tcBorders>
      </w:tcPr>
    </w:tblStylePr>
    <w:tblStylePr w:type="band1Vert">
      <w:tblPr/>
      <w:tcPr>
        <w:shd w:val="clear" w:color="auto" w:fill="C9F2F5" w:themeFill="accent3" w:themeFillTint="3F"/>
      </w:tcPr>
    </w:tblStylePr>
    <w:tblStylePr w:type="band1Horz">
      <w:tblPr/>
      <w:tcPr>
        <w:shd w:val="clear" w:color="auto" w:fill="C9F2F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42BA97" w:themeColor="accent4"/>
        <w:bottom w:val="single" w:sz="8" w:space="0" w:color="42BA97" w:themeColor="accent4"/>
      </w:tblBorders>
    </w:tblPr>
    <w:tblStylePr w:type="firstRow">
      <w:rPr>
        <w:rFonts w:asciiTheme="majorHAnsi" w:eastAsiaTheme="majorEastAsia" w:hAnsiTheme="majorHAnsi" w:cstheme="majorBidi"/>
      </w:rPr>
      <w:tblPr/>
      <w:tcPr>
        <w:tcBorders>
          <w:top w:val="nil"/>
          <w:bottom w:val="single" w:sz="8" w:space="0" w:color="42BA97" w:themeColor="accent4"/>
        </w:tcBorders>
      </w:tcPr>
    </w:tblStylePr>
    <w:tblStylePr w:type="lastRow">
      <w:rPr>
        <w:b/>
        <w:bCs/>
        <w:color w:val="335B74" w:themeColor="text2"/>
      </w:rPr>
      <w:tblPr/>
      <w:tcPr>
        <w:tcBorders>
          <w:top w:val="single" w:sz="8" w:space="0" w:color="42BA97" w:themeColor="accent4"/>
          <w:bottom w:val="single" w:sz="8" w:space="0" w:color="42BA97" w:themeColor="accent4"/>
        </w:tcBorders>
      </w:tcPr>
    </w:tblStylePr>
    <w:tblStylePr w:type="firstCol">
      <w:rPr>
        <w:b/>
        <w:bCs/>
      </w:rPr>
    </w:tblStylePr>
    <w:tblStylePr w:type="lastCol">
      <w:rPr>
        <w:b/>
        <w:bCs/>
      </w:rPr>
      <w:tblPr/>
      <w:tcPr>
        <w:tcBorders>
          <w:top w:val="single" w:sz="8" w:space="0" w:color="42BA97" w:themeColor="accent4"/>
          <w:bottom w:val="single" w:sz="8" w:space="0" w:color="42BA97" w:themeColor="accent4"/>
        </w:tcBorders>
      </w:tcPr>
    </w:tblStylePr>
    <w:tblStylePr w:type="band1Vert">
      <w:tblPr/>
      <w:tcPr>
        <w:shd w:val="clear" w:color="auto" w:fill="CFEEE5" w:themeFill="accent4" w:themeFillTint="3F"/>
      </w:tcPr>
    </w:tblStylePr>
    <w:tblStylePr w:type="band1Horz">
      <w:tblPr/>
      <w:tcPr>
        <w:shd w:val="clear" w:color="auto" w:fill="CFEEE5"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3E8853" w:themeColor="accent5"/>
        <w:bottom w:val="single" w:sz="8" w:space="0" w:color="3E8853" w:themeColor="accent5"/>
      </w:tblBorders>
    </w:tblPr>
    <w:tblStylePr w:type="firstRow">
      <w:rPr>
        <w:rFonts w:asciiTheme="majorHAnsi" w:eastAsiaTheme="majorEastAsia" w:hAnsiTheme="majorHAnsi" w:cstheme="majorBidi"/>
      </w:rPr>
      <w:tblPr/>
      <w:tcPr>
        <w:tcBorders>
          <w:top w:val="nil"/>
          <w:bottom w:val="single" w:sz="8" w:space="0" w:color="3E8853" w:themeColor="accent5"/>
        </w:tcBorders>
      </w:tcPr>
    </w:tblStylePr>
    <w:tblStylePr w:type="lastRow">
      <w:rPr>
        <w:b/>
        <w:bCs/>
        <w:color w:val="335B74" w:themeColor="text2"/>
      </w:rPr>
      <w:tblPr/>
      <w:tcPr>
        <w:tcBorders>
          <w:top w:val="single" w:sz="8" w:space="0" w:color="3E8853" w:themeColor="accent5"/>
          <w:bottom w:val="single" w:sz="8" w:space="0" w:color="3E8853" w:themeColor="accent5"/>
        </w:tcBorders>
      </w:tcPr>
    </w:tblStylePr>
    <w:tblStylePr w:type="firstCol">
      <w:rPr>
        <w:b/>
        <w:bCs/>
      </w:rPr>
    </w:tblStylePr>
    <w:tblStylePr w:type="lastCol">
      <w:rPr>
        <w:b/>
        <w:bCs/>
      </w:rPr>
      <w:tblPr/>
      <w:tcPr>
        <w:tcBorders>
          <w:top w:val="single" w:sz="8" w:space="0" w:color="3E8853" w:themeColor="accent5"/>
          <w:bottom w:val="single" w:sz="8" w:space="0" w:color="3E8853" w:themeColor="accent5"/>
        </w:tcBorders>
      </w:tcPr>
    </w:tblStylePr>
    <w:tblStylePr w:type="band1Vert">
      <w:tblPr/>
      <w:tcPr>
        <w:shd w:val="clear" w:color="auto" w:fill="C9E6D2" w:themeFill="accent5" w:themeFillTint="3F"/>
      </w:tcPr>
    </w:tblStylePr>
    <w:tblStylePr w:type="band1Horz">
      <w:tblPr/>
      <w:tcPr>
        <w:shd w:val="clear" w:color="auto" w:fill="C9E6D2"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62A39F" w:themeColor="accent6"/>
        <w:bottom w:val="single" w:sz="8" w:space="0" w:color="62A39F" w:themeColor="accent6"/>
      </w:tblBorders>
    </w:tblPr>
    <w:tblStylePr w:type="firstRow">
      <w:rPr>
        <w:rFonts w:asciiTheme="majorHAnsi" w:eastAsiaTheme="majorEastAsia" w:hAnsiTheme="majorHAnsi" w:cstheme="majorBidi"/>
      </w:rPr>
      <w:tblPr/>
      <w:tcPr>
        <w:tcBorders>
          <w:top w:val="nil"/>
          <w:bottom w:val="single" w:sz="8" w:space="0" w:color="62A39F" w:themeColor="accent6"/>
        </w:tcBorders>
      </w:tcPr>
    </w:tblStylePr>
    <w:tblStylePr w:type="lastRow">
      <w:rPr>
        <w:b/>
        <w:bCs/>
        <w:color w:val="335B74" w:themeColor="text2"/>
      </w:rPr>
      <w:tblPr/>
      <w:tcPr>
        <w:tcBorders>
          <w:top w:val="single" w:sz="8" w:space="0" w:color="62A39F" w:themeColor="accent6"/>
          <w:bottom w:val="single" w:sz="8" w:space="0" w:color="62A39F" w:themeColor="accent6"/>
        </w:tcBorders>
      </w:tcPr>
    </w:tblStylePr>
    <w:tblStylePr w:type="firstCol">
      <w:rPr>
        <w:b/>
        <w:bCs/>
      </w:rPr>
    </w:tblStylePr>
    <w:tblStylePr w:type="lastCol">
      <w:rPr>
        <w:b/>
        <w:bCs/>
      </w:rPr>
      <w:tblPr/>
      <w:tcPr>
        <w:tcBorders>
          <w:top w:val="single" w:sz="8" w:space="0" w:color="62A39F" w:themeColor="accent6"/>
          <w:bottom w:val="single" w:sz="8" w:space="0" w:color="62A39F" w:themeColor="accent6"/>
        </w:tcBorders>
      </w:tcPr>
    </w:tblStylePr>
    <w:tblStylePr w:type="band1Vert">
      <w:tblPr/>
      <w:tcPr>
        <w:shd w:val="clear" w:color="auto" w:fill="D8E8E7" w:themeFill="accent6" w:themeFillTint="3F"/>
      </w:tcPr>
    </w:tblStylePr>
    <w:tblStylePr w:type="band1Horz">
      <w:tblPr/>
      <w:tcPr>
        <w:shd w:val="clear" w:color="auto" w:fill="D8E8E7" w:themeFill="accent6" w:themeFillTint="3F"/>
      </w:tcPr>
    </w:tblStylePr>
  </w:style>
  <w:style w:type="table" w:styleId="Listamedia2">
    <w:name w:val="Medium List 2"/>
    <w:basedOn w:val="Tablanormal"/>
    <w:uiPriority w:val="66"/>
    <w:rsid w:val="00CB0664"/>
    <w:pPr>
      <w:spacing w:after="0" w:line="240" w:lineRule="auto"/>
    </w:pPr>
    <w:rPr>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color w:val="000000" w:themeColor="text1"/>
    </w:rPr>
    <w:tblPr>
      <w:tblStyleRowBandSize w:val="1"/>
      <w:tblStyleColBandSize w:val="1"/>
      <w:tblBorders>
        <w:top w:val="single" w:sz="8" w:space="0" w:color="1CADE4" w:themeColor="accent1"/>
        <w:left w:val="single" w:sz="8" w:space="0" w:color="1CADE4" w:themeColor="accent1"/>
        <w:bottom w:val="single" w:sz="8" w:space="0" w:color="1CADE4" w:themeColor="accent1"/>
        <w:right w:val="single" w:sz="8" w:space="0" w:color="1CADE4" w:themeColor="accent1"/>
      </w:tblBorders>
    </w:tblPr>
    <w:tblStylePr w:type="firstRow">
      <w:rPr>
        <w:sz w:val="24"/>
        <w:szCs w:val="24"/>
      </w:rPr>
      <w:tblPr/>
      <w:tcPr>
        <w:tcBorders>
          <w:top w:val="nil"/>
          <w:left w:val="nil"/>
          <w:bottom w:val="single" w:sz="24" w:space="0" w:color="1CADE4" w:themeColor="accent1"/>
          <w:right w:val="nil"/>
          <w:insideH w:val="nil"/>
          <w:insideV w:val="nil"/>
        </w:tcBorders>
        <w:shd w:val="clear" w:color="auto" w:fill="FFFFFF" w:themeFill="background1"/>
      </w:tcPr>
    </w:tblStylePr>
    <w:tblStylePr w:type="lastRow">
      <w:tblPr/>
      <w:tcPr>
        <w:tcBorders>
          <w:top w:val="single" w:sz="8" w:space="0" w:color="1CADE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CADE4" w:themeColor="accent1"/>
          <w:insideH w:val="nil"/>
          <w:insideV w:val="nil"/>
        </w:tcBorders>
        <w:shd w:val="clear" w:color="auto" w:fill="FFFFFF" w:themeFill="background1"/>
      </w:tcPr>
    </w:tblStylePr>
    <w:tblStylePr w:type="lastCol">
      <w:tblPr/>
      <w:tcPr>
        <w:tcBorders>
          <w:top w:val="nil"/>
          <w:left w:val="single" w:sz="8" w:space="0" w:color="1CADE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6EAF8" w:themeFill="accent1" w:themeFillTint="3F"/>
      </w:tcPr>
    </w:tblStylePr>
    <w:tblStylePr w:type="band1Horz">
      <w:tblPr/>
      <w:tcPr>
        <w:tcBorders>
          <w:top w:val="nil"/>
          <w:bottom w:val="nil"/>
          <w:insideH w:val="nil"/>
          <w:insideV w:val="nil"/>
        </w:tcBorders>
        <w:shd w:val="clear" w:color="auto" w:fill="C6EAF8"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color w:val="000000" w:themeColor="text1"/>
    </w:rPr>
    <w:tblPr>
      <w:tblStyleRowBandSize w:val="1"/>
      <w:tblStyleColBandSize w:val="1"/>
      <w:tblBorders>
        <w:top w:val="single" w:sz="8" w:space="0" w:color="2683C6" w:themeColor="accent2"/>
        <w:left w:val="single" w:sz="8" w:space="0" w:color="2683C6" w:themeColor="accent2"/>
        <w:bottom w:val="single" w:sz="8" w:space="0" w:color="2683C6" w:themeColor="accent2"/>
        <w:right w:val="single" w:sz="8" w:space="0" w:color="2683C6" w:themeColor="accent2"/>
      </w:tblBorders>
    </w:tblPr>
    <w:tblStylePr w:type="firstRow">
      <w:rPr>
        <w:sz w:val="24"/>
        <w:szCs w:val="24"/>
      </w:rPr>
      <w:tblPr/>
      <w:tcPr>
        <w:tcBorders>
          <w:top w:val="nil"/>
          <w:left w:val="nil"/>
          <w:bottom w:val="single" w:sz="24" w:space="0" w:color="2683C6" w:themeColor="accent2"/>
          <w:right w:val="nil"/>
          <w:insideH w:val="nil"/>
          <w:insideV w:val="nil"/>
        </w:tcBorders>
        <w:shd w:val="clear" w:color="auto" w:fill="FFFFFF" w:themeFill="background1"/>
      </w:tcPr>
    </w:tblStylePr>
    <w:tblStylePr w:type="lastRow">
      <w:tblPr/>
      <w:tcPr>
        <w:tcBorders>
          <w:top w:val="single" w:sz="8" w:space="0" w:color="2683C6"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683C6" w:themeColor="accent2"/>
          <w:insideH w:val="nil"/>
          <w:insideV w:val="nil"/>
        </w:tcBorders>
        <w:shd w:val="clear" w:color="auto" w:fill="FFFFFF" w:themeFill="background1"/>
      </w:tcPr>
    </w:tblStylePr>
    <w:tblStylePr w:type="lastCol">
      <w:tblPr/>
      <w:tcPr>
        <w:tcBorders>
          <w:top w:val="nil"/>
          <w:left w:val="single" w:sz="8" w:space="0" w:color="2683C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5E0F4" w:themeFill="accent2" w:themeFillTint="3F"/>
      </w:tcPr>
    </w:tblStylePr>
    <w:tblStylePr w:type="band1Horz">
      <w:tblPr/>
      <w:tcPr>
        <w:tcBorders>
          <w:top w:val="nil"/>
          <w:bottom w:val="nil"/>
          <w:insideH w:val="nil"/>
          <w:insideV w:val="nil"/>
        </w:tcBorders>
        <w:shd w:val="clear" w:color="auto" w:fill="C5E0F4"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color w:val="000000" w:themeColor="text1"/>
    </w:rPr>
    <w:tblPr>
      <w:tblStyleRowBandSize w:val="1"/>
      <w:tblStyleColBandSize w:val="1"/>
      <w:tblBorders>
        <w:top w:val="single" w:sz="8" w:space="0" w:color="27CED7" w:themeColor="accent3"/>
        <w:left w:val="single" w:sz="8" w:space="0" w:color="27CED7" w:themeColor="accent3"/>
        <w:bottom w:val="single" w:sz="8" w:space="0" w:color="27CED7" w:themeColor="accent3"/>
        <w:right w:val="single" w:sz="8" w:space="0" w:color="27CED7" w:themeColor="accent3"/>
      </w:tblBorders>
    </w:tblPr>
    <w:tblStylePr w:type="firstRow">
      <w:rPr>
        <w:sz w:val="24"/>
        <w:szCs w:val="24"/>
      </w:rPr>
      <w:tblPr/>
      <w:tcPr>
        <w:tcBorders>
          <w:top w:val="nil"/>
          <w:left w:val="nil"/>
          <w:bottom w:val="single" w:sz="24" w:space="0" w:color="27CED7" w:themeColor="accent3"/>
          <w:right w:val="nil"/>
          <w:insideH w:val="nil"/>
          <w:insideV w:val="nil"/>
        </w:tcBorders>
        <w:shd w:val="clear" w:color="auto" w:fill="FFFFFF" w:themeFill="background1"/>
      </w:tcPr>
    </w:tblStylePr>
    <w:tblStylePr w:type="lastRow">
      <w:tblPr/>
      <w:tcPr>
        <w:tcBorders>
          <w:top w:val="single" w:sz="8" w:space="0" w:color="27CED7"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7CED7" w:themeColor="accent3"/>
          <w:insideH w:val="nil"/>
          <w:insideV w:val="nil"/>
        </w:tcBorders>
        <w:shd w:val="clear" w:color="auto" w:fill="FFFFFF" w:themeFill="background1"/>
      </w:tcPr>
    </w:tblStylePr>
    <w:tblStylePr w:type="lastCol">
      <w:tblPr/>
      <w:tcPr>
        <w:tcBorders>
          <w:top w:val="nil"/>
          <w:left w:val="single" w:sz="8" w:space="0" w:color="27CED7"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9F2F5" w:themeFill="accent3" w:themeFillTint="3F"/>
      </w:tcPr>
    </w:tblStylePr>
    <w:tblStylePr w:type="band1Horz">
      <w:tblPr/>
      <w:tcPr>
        <w:tcBorders>
          <w:top w:val="nil"/>
          <w:bottom w:val="nil"/>
          <w:insideH w:val="nil"/>
          <w:insideV w:val="nil"/>
        </w:tcBorders>
        <w:shd w:val="clear" w:color="auto" w:fill="C9F2F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color w:val="000000" w:themeColor="text1"/>
    </w:rPr>
    <w:tblPr>
      <w:tblStyleRowBandSize w:val="1"/>
      <w:tblStyleColBandSize w:val="1"/>
      <w:tblBorders>
        <w:top w:val="single" w:sz="8" w:space="0" w:color="42BA97" w:themeColor="accent4"/>
        <w:left w:val="single" w:sz="8" w:space="0" w:color="42BA97" w:themeColor="accent4"/>
        <w:bottom w:val="single" w:sz="8" w:space="0" w:color="42BA97" w:themeColor="accent4"/>
        <w:right w:val="single" w:sz="8" w:space="0" w:color="42BA97" w:themeColor="accent4"/>
      </w:tblBorders>
    </w:tblPr>
    <w:tblStylePr w:type="firstRow">
      <w:rPr>
        <w:sz w:val="24"/>
        <w:szCs w:val="24"/>
      </w:rPr>
      <w:tblPr/>
      <w:tcPr>
        <w:tcBorders>
          <w:top w:val="nil"/>
          <w:left w:val="nil"/>
          <w:bottom w:val="single" w:sz="24" w:space="0" w:color="42BA97" w:themeColor="accent4"/>
          <w:right w:val="nil"/>
          <w:insideH w:val="nil"/>
          <w:insideV w:val="nil"/>
        </w:tcBorders>
        <w:shd w:val="clear" w:color="auto" w:fill="FFFFFF" w:themeFill="background1"/>
      </w:tcPr>
    </w:tblStylePr>
    <w:tblStylePr w:type="lastRow">
      <w:tblPr/>
      <w:tcPr>
        <w:tcBorders>
          <w:top w:val="single" w:sz="8" w:space="0" w:color="42BA97"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2BA97" w:themeColor="accent4"/>
          <w:insideH w:val="nil"/>
          <w:insideV w:val="nil"/>
        </w:tcBorders>
        <w:shd w:val="clear" w:color="auto" w:fill="FFFFFF" w:themeFill="background1"/>
      </w:tcPr>
    </w:tblStylePr>
    <w:tblStylePr w:type="lastCol">
      <w:tblPr/>
      <w:tcPr>
        <w:tcBorders>
          <w:top w:val="nil"/>
          <w:left w:val="single" w:sz="8" w:space="0" w:color="42BA97"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EEE5" w:themeFill="accent4" w:themeFillTint="3F"/>
      </w:tcPr>
    </w:tblStylePr>
    <w:tblStylePr w:type="band1Horz">
      <w:tblPr/>
      <w:tcPr>
        <w:tcBorders>
          <w:top w:val="nil"/>
          <w:bottom w:val="nil"/>
          <w:insideH w:val="nil"/>
          <w:insideV w:val="nil"/>
        </w:tcBorders>
        <w:shd w:val="clear" w:color="auto" w:fill="CFEEE5"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color w:val="000000" w:themeColor="text1"/>
    </w:rPr>
    <w:tblPr>
      <w:tblStyleRowBandSize w:val="1"/>
      <w:tblStyleColBandSize w:val="1"/>
      <w:tblBorders>
        <w:top w:val="single" w:sz="8" w:space="0" w:color="3E8853" w:themeColor="accent5"/>
        <w:left w:val="single" w:sz="8" w:space="0" w:color="3E8853" w:themeColor="accent5"/>
        <w:bottom w:val="single" w:sz="8" w:space="0" w:color="3E8853" w:themeColor="accent5"/>
        <w:right w:val="single" w:sz="8" w:space="0" w:color="3E8853" w:themeColor="accent5"/>
      </w:tblBorders>
    </w:tblPr>
    <w:tblStylePr w:type="firstRow">
      <w:rPr>
        <w:sz w:val="24"/>
        <w:szCs w:val="24"/>
      </w:rPr>
      <w:tblPr/>
      <w:tcPr>
        <w:tcBorders>
          <w:top w:val="nil"/>
          <w:left w:val="nil"/>
          <w:bottom w:val="single" w:sz="24" w:space="0" w:color="3E8853" w:themeColor="accent5"/>
          <w:right w:val="nil"/>
          <w:insideH w:val="nil"/>
          <w:insideV w:val="nil"/>
        </w:tcBorders>
        <w:shd w:val="clear" w:color="auto" w:fill="FFFFFF" w:themeFill="background1"/>
      </w:tcPr>
    </w:tblStylePr>
    <w:tblStylePr w:type="lastRow">
      <w:tblPr/>
      <w:tcPr>
        <w:tcBorders>
          <w:top w:val="single" w:sz="8" w:space="0" w:color="3E8853"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E8853" w:themeColor="accent5"/>
          <w:insideH w:val="nil"/>
          <w:insideV w:val="nil"/>
        </w:tcBorders>
        <w:shd w:val="clear" w:color="auto" w:fill="FFFFFF" w:themeFill="background1"/>
      </w:tcPr>
    </w:tblStylePr>
    <w:tblStylePr w:type="lastCol">
      <w:tblPr/>
      <w:tcPr>
        <w:tcBorders>
          <w:top w:val="nil"/>
          <w:left w:val="single" w:sz="8" w:space="0" w:color="3E885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9E6D2" w:themeFill="accent5" w:themeFillTint="3F"/>
      </w:tcPr>
    </w:tblStylePr>
    <w:tblStylePr w:type="band1Horz">
      <w:tblPr/>
      <w:tcPr>
        <w:tcBorders>
          <w:top w:val="nil"/>
          <w:bottom w:val="nil"/>
          <w:insideH w:val="nil"/>
          <w:insideV w:val="nil"/>
        </w:tcBorders>
        <w:shd w:val="clear" w:color="auto" w:fill="C9E6D2"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color w:val="000000" w:themeColor="text1"/>
    </w:rPr>
    <w:tblPr>
      <w:tblStyleRowBandSize w:val="1"/>
      <w:tblStyleColBandSize w:val="1"/>
      <w:tblBorders>
        <w:top w:val="single" w:sz="8" w:space="0" w:color="62A39F" w:themeColor="accent6"/>
        <w:left w:val="single" w:sz="8" w:space="0" w:color="62A39F" w:themeColor="accent6"/>
        <w:bottom w:val="single" w:sz="8" w:space="0" w:color="62A39F" w:themeColor="accent6"/>
        <w:right w:val="single" w:sz="8" w:space="0" w:color="62A39F" w:themeColor="accent6"/>
      </w:tblBorders>
    </w:tblPr>
    <w:tblStylePr w:type="firstRow">
      <w:rPr>
        <w:sz w:val="24"/>
        <w:szCs w:val="24"/>
      </w:rPr>
      <w:tblPr/>
      <w:tcPr>
        <w:tcBorders>
          <w:top w:val="nil"/>
          <w:left w:val="nil"/>
          <w:bottom w:val="single" w:sz="24" w:space="0" w:color="62A39F" w:themeColor="accent6"/>
          <w:right w:val="nil"/>
          <w:insideH w:val="nil"/>
          <w:insideV w:val="nil"/>
        </w:tcBorders>
        <w:shd w:val="clear" w:color="auto" w:fill="FFFFFF" w:themeFill="background1"/>
      </w:tcPr>
    </w:tblStylePr>
    <w:tblStylePr w:type="lastRow">
      <w:tblPr/>
      <w:tcPr>
        <w:tcBorders>
          <w:top w:val="single" w:sz="8" w:space="0" w:color="62A39F"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2A39F" w:themeColor="accent6"/>
          <w:insideH w:val="nil"/>
          <w:insideV w:val="nil"/>
        </w:tcBorders>
        <w:shd w:val="clear" w:color="auto" w:fill="FFFFFF" w:themeFill="background1"/>
      </w:tcPr>
    </w:tblStylePr>
    <w:tblStylePr w:type="lastCol">
      <w:tblPr/>
      <w:tcPr>
        <w:tcBorders>
          <w:top w:val="nil"/>
          <w:left w:val="single" w:sz="8" w:space="0" w:color="62A39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8E8E7" w:themeFill="accent6" w:themeFillTint="3F"/>
      </w:tcPr>
    </w:tblStylePr>
    <w:tblStylePr w:type="band1Horz">
      <w:tblPr/>
      <w:tcPr>
        <w:tcBorders>
          <w:top w:val="nil"/>
          <w:bottom w:val="nil"/>
          <w:insideH w:val="nil"/>
          <w:insideV w:val="nil"/>
        </w:tcBorders>
        <w:shd w:val="clear" w:color="auto" w:fill="D8E8E7"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54C1EA" w:themeColor="accent1" w:themeTint="BF"/>
        <w:left w:val="single" w:sz="8" w:space="0" w:color="54C1EA" w:themeColor="accent1" w:themeTint="BF"/>
        <w:bottom w:val="single" w:sz="8" w:space="0" w:color="54C1EA" w:themeColor="accent1" w:themeTint="BF"/>
        <w:right w:val="single" w:sz="8" w:space="0" w:color="54C1EA" w:themeColor="accent1" w:themeTint="BF"/>
        <w:insideH w:val="single" w:sz="8" w:space="0" w:color="54C1EA" w:themeColor="accent1" w:themeTint="BF"/>
        <w:insideV w:val="single" w:sz="8" w:space="0" w:color="54C1EA" w:themeColor="accent1" w:themeTint="BF"/>
      </w:tblBorders>
    </w:tblPr>
    <w:tcPr>
      <w:shd w:val="clear" w:color="auto" w:fill="C6EAF8" w:themeFill="accent1" w:themeFillTint="3F"/>
    </w:tcPr>
    <w:tblStylePr w:type="firstRow">
      <w:rPr>
        <w:b/>
        <w:bCs/>
      </w:rPr>
    </w:tblStylePr>
    <w:tblStylePr w:type="lastRow">
      <w:rPr>
        <w:b/>
        <w:bCs/>
      </w:rPr>
      <w:tblPr/>
      <w:tcPr>
        <w:tcBorders>
          <w:top w:val="single" w:sz="18" w:space="0" w:color="54C1EA" w:themeColor="accent1" w:themeTint="BF"/>
        </w:tcBorders>
      </w:tcPr>
    </w:tblStylePr>
    <w:tblStylePr w:type="firstCol">
      <w:rPr>
        <w:b/>
        <w:bCs/>
      </w:rPr>
    </w:tblStylePr>
    <w:tblStylePr w:type="lastCol">
      <w:rPr>
        <w:b/>
        <w:bCs/>
      </w:rPr>
    </w:tblStylePr>
    <w:tblStylePr w:type="band1Vert">
      <w:tblPr/>
      <w:tcPr>
        <w:shd w:val="clear" w:color="auto" w:fill="8DD5F1" w:themeFill="accent1" w:themeFillTint="7F"/>
      </w:tcPr>
    </w:tblStylePr>
    <w:tblStylePr w:type="band1Horz">
      <w:tblPr/>
      <w:tcPr>
        <w:shd w:val="clear" w:color="auto" w:fill="8DD5F1"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52A3DE" w:themeColor="accent2" w:themeTint="BF"/>
        <w:left w:val="single" w:sz="8" w:space="0" w:color="52A3DE" w:themeColor="accent2" w:themeTint="BF"/>
        <w:bottom w:val="single" w:sz="8" w:space="0" w:color="52A3DE" w:themeColor="accent2" w:themeTint="BF"/>
        <w:right w:val="single" w:sz="8" w:space="0" w:color="52A3DE" w:themeColor="accent2" w:themeTint="BF"/>
        <w:insideH w:val="single" w:sz="8" w:space="0" w:color="52A3DE" w:themeColor="accent2" w:themeTint="BF"/>
        <w:insideV w:val="single" w:sz="8" w:space="0" w:color="52A3DE" w:themeColor="accent2" w:themeTint="BF"/>
      </w:tblBorders>
    </w:tblPr>
    <w:tcPr>
      <w:shd w:val="clear" w:color="auto" w:fill="C5E0F4" w:themeFill="accent2" w:themeFillTint="3F"/>
    </w:tcPr>
    <w:tblStylePr w:type="firstRow">
      <w:rPr>
        <w:b/>
        <w:bCs/>
      </w:rPr>
    </w:tblStylePr>
    <w:tblStylePr w:type="lastRow">
      <w:rPr>
        <w:b/>
        <w:bCs/>
      </w:rPr>
      <w:tblPr/>
      <w:tcPr>
        <w:tcBorders>
          <w:top w:val="single" w:sz="18" w:space="0" w:color="52A3DE" w:themeColor="accent2" w:themeTint="BF"/>
        </w:tcBorders>
      </w:tcPr>
    </w:tblStylePr>
    <w:tblStylePr w:type="firstCol">
      <w:rPr>
        <w:b/>
        <w:bCs/>
      </w:rPr>
    </w:tblStylePr>
    <w:tblStylePr w:type="lastCol">
      <w:rPr>
        <w:b/>
        <w:bCs/>
      </w:rPr>
    </w:tblStylePr>
    <w:tblStylePr w:type="band1Vert">
      <w:tblPr/>
      <w:tcPr>
        <w:shd w:val="clear" w:color="auto" w:fill="8CC2E9" w:themeFill="accent2" w:themeFillTint="7F"/>
      </w:tcPr>
    </w:tblStylePr>
    <w:tblStylePr w:type="band1Horz">
      <w:tblPr/>
      <w:tcPr>
        <w:shd w:val="clear" w:color="auto" w:fill="8CC2E9"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5CDAE1" w:themeColor="accent3" w:themeTint="BF"/>
        <w:left w:val="single" w:sz="8" w:space="0" w:color="5CDAE1" w:themeColor="accent3" w:themeTint="BF"/>
        <w:bottom w:val="single" w:sz="8" w:space="0" w:color="5CDAE1" w:themeColor="accent3" w:themeTint="BF"/>
        <w:right w:val="single" w:sz="8" w:space="0" w:color="5CDAE1" w:themeColor="accent3" w:themeTint="BF"/>
        <w:insideH w:val="single" w:sz="8" w:space="0" w:color="5CDAE1" w:themeColor="accent3" w:themeTint="BF"/>
        <w:insideV w:val="single" w:sz="8" w:space="0" w:color="5CDAE1" w:themeColor="accent3" w:themeTint="BF"/>
      </w:tblBorders>
    </w:tblPr>
    <w:tcPr>
      <w:shd w:val="clear" w:color="auto" w:fill="C9F2F5" w:themeFill="accent3" w:themeFillTint="3F"/>
    </w:tcPr>
    <w:tblStylePr w:type="firstRow">
      <w:rPr>
        <w:b/>
        <w:bCs/>
      </w:rPr>
    </w:tblStylePr>
    <w:tblStylePr w:type="lastRow">
      <w:rPr>
        <w:b/>
        <w:bCs/>
      </w:rPr>
      <w:tblPr/>
      <w:tcPr>
        <w:tcBorders>
          <w:top w:val="single" w:sz="18" w:space="0" w:color="5CDAE1" w:themeColor="accent3" w:themeTint="BF"/>
        </w:tcBorders>
      </w:tcPr>
    </w:tblStylePr>
    <w:tblStylePr w:type="firstCol">
      <w:rPr>
        <w:b/>
        <w:bCs/>
      </w:rPr>
    </w:tblStylePr>
    <w:tblStylePr w:type="lastCol">
      <w:rPr>
        <w:b/>
        <w:bCs/>
      </w:rPr>
    </w:tblStylePr>
    <w:tblStylePr w:type="band1Vert">
      <w:tblPr/>
      <w:tcPr>
        <w:shd w:val="clear" w:color="auto" w:fill="92E6EB" w:themeFill="accent3" w:themeFillTint="7F"/>
      </w:tcPr>
    </w:tblStylePr>
    <w:tblStylePr w:type="band1Horz">
      <w:tblPr/>
      <w:tcPr>
        <w:shd w:val="clear" w:color="auto" w:fill="92E6EB"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70CCB1" w:themeColor="accent4" w:themeTint="BF"/>
        <w:left w:val="single" w:sz="8" w:space="0" w:color="70CCB1" w:themeColor="accent4" w:themeTint="BF"/>
        <w:bottom w:val="single" w:sz="8" w:space="0" w:color="70CCB1" w:themeColor="accent4" w:themeTint="BF"/>
        <w:right w:val="single" w:sz="8" w:space="0" w:color="70CCB1" w:themeColor="accent4" w:themeTint="BF"/>
        <w:insideH w:val="single" w:sz="8" w:space="0" w:color="70CCB1" w:themeColor="accent4" w:themeTint="BF"/>
        <w:insideV w:val="single" w:sz="8" w:space="0" w:color="70CCB1" w:themeColor="accent4" w:themeTint="BF"/>
      </w:tblBorders>
    </w:tblPr>
    <w:tcPr>
      <w:shd w:val="clear" w:color="auto" w:fill="CFEEE5" w:themeFill="accent4" w:themeFillTint="3F"/>
    </w:tcPr>
    <w:tblStylePr w:type="firstRow">
      <w:rPr>
        <w:b/>
        <w:bCs/>
      </w:rPr>
    </w:tblStylePr>
    <w:tblStylePr w:type="lastRow">
      <w:rPr>
        <w:b/>
        <w:bCs/>
      </w:rPr>
      <w:tblPr/>
      <w:tcPr>
        <w:tcBorders>
          <w:top w:val="single" w:sz="18" w:space="0" w:color="70CCB1" w:themeColor="accent4" w:themeTint="BF"/>
        </w:tcBorders>
      </w:tcPr>
    </w:tblStylePr>
    <w:tblStylePr w:type="firstCol">
      <w:rPr>
        <w:b/>
        <w:bCs/>
      </w:rPr>
    </w:tblStylePr>
    <w:tblStylePr w:type="lastCol">
      <w:rPr>
        <w:b/>
        <w:bCs/>
      </w:rPr>
    </w:tblStylePr>
    <w:tblStylePr w:type="band1Vert">
      <w:tblPr/>
      <w:tcPr>
        <w:shd w:val="clear" w:color="auto" w:fill="A0DDCB" w:themeFill="accent4" w:themeFillTint="7F"/>
      </w:tcPr>
    </w:tblStylePr>
    <w:tblStylePr w:type="band1Horz">
      <w:tblPr/>
      <w:tcPr>
        <w:shd w:val="clear" w:color="auto" w:fill="A0DDCB"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5EB576" w:themeColor="accent5" w:themeTint="BF"/>
        <w:left w:val="single" w:sz="8" w:space="0" w:color="5EB576" w:themeColor="accent5" w:themeTint="BF"/>
        <w:bottom w:val="single" w:sz="8" w:space="0" w:color="5EB576" w:themeColor="accent5" w:themeTint="BF"/>
        <w:right w:val="single" w:sz="8" w:space="0" w:color="5EB576" w:themeColor="accent5" w:themeTint="BF"/>
        <w:insideH w:val="single" w:sz="8" w:space="0" w:color="5EB576" w:themeColor="accent5" w:themeTint="BF"/>
        <w:insideV w:val="single" w:sz="8" w:space="0" w:color="5EB576" w:themeColor="accent5" w:themeTint="BF"/>
      </w:tblBorders>
    </w:tblPr>
    <w:tcPr>
      <w:shd w:val="clear" w:color="auto" w:fill="C9E6D2" w:themeFill="accent5" w:themeFillTint="3F"/>
    </w:tcPr>
    <w:tblStylePr w:type="firstRow">
      <w:rPr>
        <w:b/>
        <w:bCs/>
      </w:rPr>
    </w:tblStylePr>
    <w:tblStylePr w:type="lastRow">
      <w:rPr>
        <w:b/>
        <w:bCs/>
      </w:rPr>
      <w:tblPr/>
      <w:tcPr>
        <w:tcBorders>
          <w:top w:val="single" w:sz="18" w:space="0" w:color="5EB576" w:themeColor="accent5" w:themeTint="BF"/>
        </w:tcBorders>
      </w:tcPr>
    </w:tblStylePr>
    <w:tblStylePr w:type="firstCol">
      <w:rPr>
        <w:b/>
        <w:bCs/>
      </w:rPr>
    </w:tblStylePr>
    <w:tblStylePr w:type="lastCol">
      <w:rPr>
        <w:b/>
        <w:bCs/>
      </w:rPr>
    </w:tblStylePr>
    <w:tblStylePr w:type="band1Vert">
      <w:tblPr/>
      <w:tcPr>
        <w:shd w:val="clear" w:color="auto" w:fill="94CEA4" w:themeFill="accent5" w:themeFillTint="7F"/>
      </w:tcPr>
    </w:tblStylePr>
    <w:tblStylePr w:type="band1Horz">
      <w:tblPr/>
      <w:tcPr>
        <w:shd w:val="clear" w:color="auto" w:fill="94CEA4"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89BAB7" w:themeColor="accent6" w:themeTint="BF"/>
        <w:left w:val="single" w:sz="8" w:space="0" w:color="89BAB7" w:themeColor="accent6" w:themeTint="BF"/>
        <w:bottom w:val="single" w:sz="8" w:space="0" w:color="89BAB7" w:themeColor="accent6" w:themeTint="BF"/>
        <w:right w:val="single" w:sz="8" w:space="0" w:color="89BAB7" w:themeColor="accent6" w:themeTint="BF"/>
        <w:insideH w:val="single" w:sz="8" w:space="0" w:color="89BAB7" w:themeColor="accent6" w:themeTint="BF"/>
        <w:insideV w:val="single" w:sz="8" w:space="0" w:color="89BAB7" w:themeColor="accent6" w:themeTint="BF"/>
      </w:tblBorders>
    </w:tblPr>
    <w:tcPr>
      <w:shd w:val="clear" w:color="auto" w:fill="D8E8E7" w:themeFill="accent6" w:themeFillTint="3F"/>
    </w:tcPr>
    <w:tblStylePr w:type="firstRow">
      <w:rPr>
        <w:b/>
        <w:bCs/>
      </w:rPr>
    </w:tblStylePr>
    <w:tblStylePr w:type="lastRow">
      <w:rPr>
        <w:b/>
        <w:bCs/>
      </w:rPr>
      <w:tblPr/>
      <w:tcPr>
        <w:tcBorders>
          <w:top w:val="single" w:sz="18" w:space="0" w:color="89BAB7" w:themeColor="accent6" w:themeTint="BF"/>
        </w:tcBorders>
      </w:tcPr>
    </w:tblStylePr>
    <w:tblStylePr w:type="firstCol">
      <w:rPr>
        <w:b/>
        <w:bCs/>
      </w:rPr>
    </w:tblStylePr>
    <w:tblStylePr w:type="lastCol">
      <w:rPr>
        <w:b/>
        <w:bCs/>
      </w:rPr>
    </w:tblStylePr>
    <w:tblStylePr w:type="band1Vert">
      <w:tblPr/>
      <w:tcPr>
        <w:shd w:val="clear" w:color="auto" w:fill="B0D1CF" w:themeFill="accent6" w:themeFillTint="7F"/>
      </w:tcPr>
    </w:tblStylePr>
    <w:tblStylePr w:type="band1Horz">
      <w:tblPr/>
      <w:tcPr>
        <w:shd w:val="clear" w:color="auto" w:fill="B0D1CF" w:themeFill="accent6" w:themeFillTint="7F"/>
      </w:tcPr>
    </w:tblStylePr>
  </w:style>
  <w:style w:type="table" w:styleId="Cuadrculamedia2">
    <w:name w:val="Medium Grid 2"/>
    <w:basedOn w:val="Tablanormal"/>
    <w:uiPriority w:val="68"/>
    <w:rsid w:val="00CB0664"/>
    <w:pPr>
      <w:spacing w:after="0" w:line="240" w:lineRule="auto"/>
    </w:pPr>
    <w:rPr>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color w:val="000000" w:themeColor="text1"/>
    </w:rPr>
    <w:tblPr>
      <w:tblStyleRowBandSize w:val="1"/>
      <w:tblStyleColBandSize w:val="1"/>
      <w:tblBorders>
        <w:top w:val="single" w:sz="8" w:space="0" w:color="1CADE4" w:themeColor="accent1"/>
        <w:left w:val="single" w:sz="8" w:space="0" w:color="1CADE4" w:themeColor="accent1"/>
        <w:bottom w:val="single" w:sz="8" w:space="0" w:color="1CADE4" w:themeColor="accent1"/>
        <w:right w:val="single" w:sz="8" w:space="0" w:color="1CADE4" w:themeColor="accent1"/>
        <w:insideH w:val="single" w:sz="8" w:space="0" w:color="1CADE4" w:themeColor="accent1"/>
        <w:insideV w:val="single" w:sz="8" w:space="0" w:color="1CADE4" w:themeColor="accent1"/>
      </w:tblBorders>
    </w:tblPr>
    <w:tcPr>
      <w:shd w:val="clear" w:color="auto" w:fill="C6EAF8" w:themeFill="accent1" w:themeFillTint="3F"/>
    </w:tcPr>
    <w:tblStylePr w:type="firstRow">
      <w:rPr>
        <w:b/>
        <w:bCs/>
        <w:color w:val="000000" w:themeColor="text1"/>
      </w:rPr>
      <w:tblPr/>
      <w:tcPr>
        <w:shd w:val="clear" w:color="auto" w:fill="E8F6FC"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1EEF9" w:themeFill="accent1" w:themeFillTint="33"/>
      </w:tcPr>
    </w:tblStylePr>
    <w:tblStylePr w:type="band1Vert">
      <w:tblPr/>
      <w:tcPr>
        <w:shd w:val="clear" w:color="auto" w:fill="8DD5F1" w:themeFill="accent1" w:themeFillTint="7F"/>
      </w:tcPr>
    </w:tblStylePr>
    <w:tblStylePr w:type="band1Horz">
      <w:tblPr/>
      <w:tcPr>
        <w:tcBorders>
          <w:insideH w:val="single" w:sz="6" w:space="0" w:color="1CADE4" w:themeColor="accent1"/>
          <w:insideV w:val="single" w:sz="6" w:space="0" w:color="1CADE4" w:themeColor="accent1"/>
        </w:tcBorders>
        <w:shd w:val="clear" w:color="auto" w:fill="8DD5F1"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color w:val="000000" w:themeColor="text1"/>
    </w:rPr>
    <w:tblPr>
      <w:tblStyleRowBandSize w:val="1"/>
      <w:tblStyleColBandSize w:val="1"/>
      <w:tblBorders>
        <w:top w:val="single" w:sz="8" w:space="0" w:color="2683C6" w:themeColor="accent2"/>
        <w:left w:val="single" w:sz="8" w:space="0" w:color="2683C6" w:themeColor="accent2"/>
        <w:bottom w:val="single" w:sz="8" w:space="0" w:color="2683C6" w:themeColor="accent2"/>
        <w:right w:val="single" w:sz="8" w:space="0" w:color="2683C6" w:themeColor="accent2"/>
        <w:insideH w:val="single" w:sz="8" w:space="0" w:color="2683C6" w:themeColor="accent2"/>
        <w:insideV w:val="single" w:sz="8" w:space="0" w:color="2683C6" w:themeColor="accent2"/>
      </w:tblBorders>
    </w:tblPr>
    <w:tcPr>
      <w:shd w:val="clear" w:color="auto" w:fill="C5E0F4" w:themeFill="accent2" w:themeFillTint="3F"/>
    </w:tcPr>
    <w:tblStylePr w:type="firstRow">
      <w:rPr>
        <w:b/>
        <w:bCs/>
        <w:color w:val="000000" w:themeColor="text1"/>
      </w:rPr>
      <w:tblPr/>
      <w:tcPr>
        <w:shd w:val="clear" w:color="auto" w:fill="E8F2F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E6F6" w:themeFill="accent2" w:themeFillTint="33"/>
      </w:tcPr>
    </w:tblStylePr>
    <w:tblStylePr w:type="band1Vert">
      <w:tblPr/>
      <w:tcPr>
        <w:shd w:val="clear" w:color="auto" w:fill="8CC2E9" w:themeFill="accent2" w:themeFillTint="7F"/>
      </w:tcPr>
    </w:tblStylePr>
    <w:tblStylePr w:type="band1Horz">
      <w:tblPr/>
      <w:tcPr>
        <w:tcBorders>
          <w:insideH w:val="single" w:sz="6" w:space="0" w:color="2683C6" w:themeColor="accent2"/>
          <w:insideV w:val="single" w:sz="6" w:space="0" w:color="2683C6" w:themeColor="accent2"/>
        </w:tcBorders>
        <w:shd w:val="clear" w:color="auto" w:fill="8CC2E9"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color w:val="000000" w:themeColor="text1"/>
    </w:rPr>
    <w:tblPr>
      <w:tblStyleRowBandSize w:val="1"/>
      <w:tblStyleColBandSize w:val="1"/>
      <w:tblBorders>
        <w:top w:val="single" w:sz="8" w:space="0" w:color="27CED7" w:themeColor="accent3"/>
        <w:left w:val="single" w:sz="8" w:space="0" w:color="27CED7" w:themeColor="accent3"/>
        <w:bottom w:val="single" w:sz="8" w:space="0" w:color="27CED7" w:themeColor="accent3"/>
        <w:right w:val="single" w:sz="8" w:space="0" w:color="27CED7" w:themeColor="accent3"/>
        <w:insideH w:val="single" w:sz="8" w:space="0" w:color="27CED7" w:themeColor="accent3"/>
        <w:insideV w:val="single" w:sz="8" w:space="0" w:color="27CED7" w:themeColor="accent3"/>
      </w:tblBorders>
    </w:tblPr>
    <w:tcPr>
      <w:shd w:val="clear" w:color="auto" w:fill="C9F2F5" w:themeFill="accent3" w:themeFillTint="3F"/>
    </w:tcPr>
    <w:tblStylePr w:type="firstRow">
      <w:rPr>
        <w:b/>
        <w:bCs/>
        <w:color w:val="000000" w:themeColor="text1"/>
      </w:rPr>
      <w:tblPr/>
      <w:tcPr>
        <w:shd w:val="clear" w:color="auto" w:fill="E9FAFB"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3F5F7" w:themeFill="accent3" w:themeFillTint="33"/>
      </w:tcPr>
    </w:tblStylePr>
    <w:tblStylePr w:type="band1Vert">
      <w:tblPr/>
      <w:tcPr>
        <w:shd w:val="clear" w:color="auto" w:fill="92E6EB" w:themeFill="accent3" w:themeFillTint="7F"/>
      </w:tcPr>
    </w:tblStylePr>
    <w:tblStylePr w:type="band1Horz">
      <w:tblPr/>
      <w:tcPr>
        <w:tcBorders>
          <w:insideH w:val="single" w:sz="6" w:space="0" w:color="27CED7" w:themeColor="accent3"/>
          <w:insideV w:val="single" w:sz="6" w:space="0" w:color="27CED7" w:themeColor="accent3"/>
        </w:tcBorders>
        <w:shd w:val="clear" w:color="auto" w:fill="92E6EB"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color w:val="000000" w:themeColor="text1"/>
    </w:rPr>
    <w:tblPr>
      <w:tblStyleRowBandSize w:val="1"/>
      <w:tblStyleColBandSize w:val="1"/>
      <w:tblBorders>
        <w:top w:val="single" w:sz="8" w:space="0" w:color="42BA97" w:themeColor="accent4"/>
        <w:left w:val="single" w:sz="8" w:space="0" w:color="42BA97" w:themeColor="accent4"/>
        <w:bottom w:val="single" w:sz="8" w:space="0" w:color="42BA97" w:themeColor="accent4"/>
        <w:right w:val="single" w:sz="8" w:space="0" w:color="42BA97" w:themeColor="accent4"/>
        <w:insideH w:val="single" w:sz="8" w:space="0" w:color="42BA97" w:themeColor="accent4"/>
        <w:insideV w:val="single" w:sz="8" w:space="0" w:color="42BA97" w:themeColor="accent4"/>
      </w:tblBorders>
    </w:tblPr>
    <w:tcPr>
      <w:shd w:val="clear" w:color="auto" w:fill="CFEEE5" w:themeFill="accent4" w:themeFillTint="3F"/>
    </w:tcPr>
    <w:tblStylePr w:type="firstRow">
      <w:rPr>
        <w:b/>
        <w:bCs/>
        <w:color w:val="000000" w:themeColor="text1"/>
      </w:rPr>
      <w:tblPr/>
      <w:tcPr>
        <w:shd w:val="clear" w:color="auto" w:fill="ECF8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F1EA" w:themeFill="accent4" w:themeFillTint="33"/>
      </w:tcPr>
    </w:tblStylePr>
    <w:tblStylePr w:type="band1Vert">
      <w:tblPr/>
      <w:tcPr>
        <w:shd w:val="clear" w:color="auto" w:fill="A0DDCB" w:themeFill="accent4" w:themeFillTint="7F"/>
      </w:tcPr>
    </w:tblStylePr>
    <w:tblStylePr w:type="band1Horz">
      <w:tblPr/>
      <w:tcPr>
        <w:tcBorders>
          <w:insideH w:val="single" w:sz="6" w:space="0" w:color="42BA97" w:themeColor="accent4"/>
          <w:insideV w:val="single" w:sz="6" w:space="0" w:color="42BA97" w:themeColor="accent4"/>
        </w:tcBorders>
        <w:shd w:val="clear" w:color="auto" w:fill="A0DDCB"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color w:val="000000" w:themeColor="text1"/>
    </w:rPr>
    <w:tblPr>
      <w:tblStyleRowBandSize w:val="1"/>
      <w:tblStyleColBandSize w:val="1"/>
      <w:tblBorders>
        <w:top w:val="single" w:sz="8" w:space="0" w:color="3E8853" w:themeColor="accent5"/>
        <w:left w:val="single" w:sz="8" w:space="0" w:color="3E8853" w:themeColor="accent5"/>
        <w:bottom w:val="single" w:sz="8" w:space="0" w:color="3E8853" w:themeColor="accent5"/>
        <w:right w:val="single" w:sz="8" w:space="0" w:color="3E8853" w:themeColor="accent5"/>
        <w:insideH w:val="single" w:sz="8" w:space="0" w:color="3E8853" w:themeColor="accent5"/>
        <w:insideV w:val="single" w:sz="8" w:space="0" w:color="3E8853" w:themeColor="accent5"/>
      </w:tblBorders>
    </w:tblPr>
    <w:tcPr>
      <w:shd w:val="clear" w:color="auto" w:fill="C9E6D2" w:themeFill="accent5" w:themeFillTint="3F"/>
    </w:tcPr>
    <w:tblStylePr w:type="firstRow">
      <w:rPr>
        <w:b/>
        <w:bCs/>
        <w:color w:val="000000" w:themeColor="text1"/>
      </w:rPr>
      <w:tblPr/>
      <w:tcPr>
        <w:shd w:val="clear" w:color="auto" w:fill="E9F5ED"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3EBDA" w:themeFill="accent5" w:themeFillTint="33"/>
      </w:tcPr>
    </w:tblStylePr>
    <w:tblStylePr w:type="band1Vert">
      <w:tblPr/>
      <w:tcPr>
        <w:shd w:val="clear" w:color="auto" w:fill="94CEA4" w:themeFill="accent5" w:themeFillTint="7F"/>
      </w:tcPr>
    </w:tblStylePr>
    <w:tblStylePr w:type="band1Horz">
      <w:tblPr/>
      <w:tcPr>
        <w:tcBorders>
          <w:insideH w:val="single" w:sz="6" w:space="0" w:color="3E8853" w:themeColor="accent5"/>
          <w:insideV w:val="single" w:sz="6" w:space="0" w:color="3E8853" w:themeColor="accent5"/>
        </w:tcBorders>
        <w:shd w:val="clear" w:color="auto" w:fill="94CEA4"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color w:val="000000" w:themeColor="text1"/>
    </w:rPr>
    <w:tblPr>
      <w:tblStyleRowBandSize w:val="1"/>
      <w:tblStyleColBandSize w:val="1"/>
      <w:tblBorders>
        <w:top w:val="single" w:sz="8" w:space="0" w:color="62A39F" w:themeColor="accent6"/>
        <w:left w:val="single" w:sz="8" w:space="0" w:color="62A39F" w:themeColor="accent6"/>
        <w:bottom w:val="single" w:sz="8" w:space="0" w:color="62A39F" w:themeColor="accent6"/>
        <w:right w:val="single" w:sz="8" w:space="0" w:color="62A39F" w:themeColor="accent6"/>
        <w:insideH w:val="single" w:sz="8" w:space="0" w:color="62A39F" w:themeColor="accent6"/>
        <w:insideV w:val="single" w:sz="8" w:space="0" w:color="62A39F" w:themeColor="accent6"/>
      </w:tblBorders>
    </w:tblPr>
    <w:tcPr>
      <w:shd w:val="clear" w:color="auto" w:fill="D8E8E7" w:themeFill="accent6" w:themeFillTint="3F"/>
    </w:tcPr>
    <w:tblStylePr w:type="firstRow">
      <w:rPr>
        <w:b/>
        <w:bCs/>
        <w:color w:val="000000" w:themeColor="text1"/>
      </w:rPr>
      <w:tblPr/>
      <w:tcPr>
        <w:shd w:val="clear" w:color="auto" w:fill="EFF6F5"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ECEB" w:themeFill="accent6" w:themeFillTint="33"/>
      </w:tcPr>
    </w:tblStylePr>
    <w:tblStylePr w:type="band1Vert">
      <w:tblPr/>
      <w:tcPr>
        <w:shd w:val="clear" w:color="auto" w:fill="B0D1CF" w:themeFill="accent6" w:themeFillTint="7F"/>
      </w:tcPr>
    </w:tblStylePr>
    <w:tblStylePr w:type="band1Horz">
      <w:tblPr/>
      <w:tcPr>
        <w:tcBorders>
          <w:insideH w:val="single" w:sz="6" w:space="0" w:color="62A39F" w:themeColor="accent6"/>
          <w:insideV w:val="single" w:sz="6" w:space="0" w:color="62A39F" w:themeColor="accent6"/>
        </w:tcBorders>
        <w:shd w:val="clear" w:color="auto" w:fill="B0D1CF"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6EAF8"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CADE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CADE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CADE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CADE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DD5F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DD5F1"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5E0F4"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683C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683C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683C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683C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CC2E9"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CC2E9"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9F2F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7CED7"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7CED7"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7CED7"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7CED7"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2E6EB"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2E6EB"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FEEE5"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2BA97"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2BA97"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2BA97"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2BA97"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DCB"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DCB"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9E6D2"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885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885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885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885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4CEA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4CEA4"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8E8E7"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2A39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2A39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2A39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2A39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D1CF"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D1CF"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1CADE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D5571"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1481AB"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1481AB" w:themeFill="accent1" w:themeFillShade="BF"/>
      </w:tcPr>
    </w:tblStylePr>
    <w:tblStylePr w:type="band1Vert">
      <w:tblPr/>
      <w:tcPr>
        <w:tcBorders>
          <w:top w:val="nil"/>
          <w:left w:val="nil"/>
          <w:bottom w:val="nil"/>
          <w:right w:val="nil"/>
          <w:insideH w:val="nil"/>
          <w:insideV w:val="nil"/>
        </w:tcBorders>
        <w:shd w:val="clear" w:color="auto" w:fill="1481AB" w:themeFill="accent1" w:themeFillShade="BF"/>
      </w:tcPr>
    </w:tblStylePr>
    <w:tblStylePr w:type="band1Horz">
      <w:tblPr/>
      <w:tcPr>
        <w:tcBorders>
          <w:top w:val="nil"/>
          <w:left w:val="nil"/>
          <w:bottom w:val="nil"/>
          <w:right w:val="nil"/>
          <w:insideH w:val="nil"/>
          <w:insideV w:val="nil"/>
        </w:tcBorders>
        <w:shd w:val="clear" w:color="auto" w:fill="1481AB"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2683C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34162"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1C619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1C6194" w:themeFill="accent2" w:themeFillShade="BF"/>
      </w:tcPr>
    </w:tblStylePr>
    <w:tblStylePr w:type="band1Vert">
      <w:tblPr/>
      <w:tcPr>
        <w:tcBorders>
          <w:top w:val="nil"/>
          <w:left w:val="nil"/>
          <w:bottom w:val="nil"/>
          <w:right w:val="nil"/>
          <w:insideH w:val="nil"/>
          <w:insideV w:val="nil"/>
        </w:tcBorders>
        <w:shd w:val="clear" w:color="auto" w:fill="1C6194" w:themeFill="accent2" w:themeFillShade="BF"/>
      </w:tcPr>
    </w:tblStylePr>
    <w:tblStylePr w:type="band1Horz">
      <w:tblPr/>
      <w:tcPr>
        <w:tcBorders>
          <w:top w:val="nil"/>
          <w:left w:val="nil"/>
          <w:bottom w:val="nil"/>
          <w:right w:val="nil"/>
          <w:insideH w:val="nil"/>
          <w:insideV w:val="nil"/>
        </w:tcBorders>
        <w:shd w:val="clear" w:color="auto" w:fill="1C619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27CED7"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3666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D99A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D99A0" w:themeFill="accent3" w:themeFillShade="BF"/>
      </w:tcPr>
    </w:tblStylePr>
    <w:tblStylePr w:type="band1Vert">
      <w:tblPr/>
      <w:tcPr>
        <w:tcBorders>
          <w:top w:val="nil"/>
          <w:left w:val="nil"/>
          <w:bottom w:val="nil"/>
          <w:right w:val="nil"/>
          <w:insideH w:val="nil"/>
          <w:insideV w:val="nil"/>
        </w:tcBorders>
        <w:shd w:val="clear" w:color="auto" w:fill="1D99A0" w:themeFill="accent3" w:themeFillShade="BF"/>
      </w:tcPr>
    </w:tblStylePr>
    <w:tblStylePr w:type="band1Horz">
      <w:tblPr/>
      <w:tcPr>
        <w:tcBorders>
          <w:top w:val="nil"/>
          <w:left w:val="nil"/>
          <w:bottom w:val="nil"/>
          <w:right w:val="nil"/>
          <w:insideH w:val="nil"/>
          <w:insideV w:val="nil"/>
        </w:tcBorders>
        <w:shd w:val="clear" w:color="auto" w:fill="1D99A0"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42BA97"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15C4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318B7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318B70" w:themeFill="accent4" w:themeFillShade="BF"/>
      </w:tcPr>
    </w:tblStylePr>
    <w:tblStylePr w:type="band1Vert">
      <w:tblPr/>
      <w:tcPr>
        <w:tcBorders>
          <w:top w:val="nil"/>
          <w:left w:val="nil"/>
          <w:bottom w:val="nil"/>
          <w:right w:val="nil"/>
          <w:insideH w:val="nil"/>
          <w:insideV w:val="nil"/>
        </w:tcBorders>
        <w:shd w:val="clear" w:color="auto" w:fill="318B70" w:themeFill="accent4" w:themeFillShade="BF"/>
      </w:tcPr>
    </w:tblStylePr>
    <w:tblStylePr w:type="band1Horz">
      <w:tblPr/>
      <w:tcPr>
        <w:tcBorders>
          <w:top w:val="nil"/>
          <w:left w:val="nil"/>
          <w:bottom w:val="nil"/>
          <w:right w:val="nil"/>
          <w:insideH w:val="nil"/>
          <w:insideV w:val="nil"/>
        </w:tcBorders>
        <w:shd w:val="clear" w:color="auto" w:fill="318B70"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3E885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E4329"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653E"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653E" w:themeFill="accent5" w:themeFillShade="BF"/>
      </w:tcPr>
    </w:tblStylePr>
    <w:tblStylePr w:type="band1Vert">
      <w:tblPr/>
      <w:tcPr>
        <w:tcBorders>
          <w:top w:val="nil"/>
          <w:left w:val="nil"/>
          <w:bottom w:val="nil"/>
          <w:right w:val="nil"/>
          <w:insideH w:val="nil"/>
          <w:insideV w:val="nil"/>
        </w:tcBorders>
        <w:shd w:val="clear" w:color="auto" w:fill="2E653E" w:themeFill="accent5" w:themeFillShade="BF"/>
      </w:tcPr>
    </w:tblStylePr>
    <w:tblStylePr w:type="band1Horz">
      <w:tblPr/>
      <w:tcPr>
        <w:tcBorders>
          <w:top w:val="nil"/>
          <w:left w:val="nil"/>
          <w:bottom w:val="nil"/>
          <w:right w:val="nil"/>
          <w:insideH w:val="nil"/>
          <w:insideV w:val="nil"/>
        </w:tcBorders>
        <w:shd w:val="clear" w:color="auto" w:fill="2E653E"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62A39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514F"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487B77"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487B77" w:themeFill="accent6" w:themeFillShade="BF"/>
      </w:tcPr>
    </w:tblStylePr>
    <w:tblStylePr w:type="band1Vert">
      <w:tblPr/>
      <w:tcPr>
        <w:tcBorders>
          <w:top w:val="nil"/>
          <w:left w:val="nil"/>
          <w:bottom w:val="nil"/>
          <w:right w:val="nil"/>
          <w:insideH w:val="nil"/>
          <w:insideV w:val="nil"/>
        </w:tcBorders>
        <w:shd w:val="clear" w:color="auto" w:fill="487B77" w:themeFill="accent6" w:themeFillShade="BF"/>
      </w:tcPr>
    </w:tblStylePr>
    <w:tblStylePr w:type="band1Horz">
      <w:tblPr/>
      <w:tcPr>
        <w:tcBorders>
          <w:top w:val="nil"/>
          <w:left w:val="nil"/>
          <w:bottom w:val="nil"/>
          <w:right w:val="nil"/>
          <w:insideH w:val="nil"/>
          <w:insideV w:val="nil"/>
        </w:tcBorders>
        <w:shd w:val="clear" w:color="auto" w:fill="487B77"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2683C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2683C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2683C6" w:themeColor="accent2"/>
        <w:left w:val="single" w:sz="4" w:space="0" w:color="1CADE4" w:themeColor="accent1"/>
        <w:bottom w:val="single" w:sz="4" w:space="0" w:color="1CADE4" w:themeColor="accent1"/>
        <w:right w:val="single" w:sz="4" w:space="0" w:color="1CADE4" w:themeColor="accent1"/>
        <w:insideH w:val="single" w:sz="4" w:space="0" w:color="FFFFFF" w:themeColor="background1"/>
        <w:insideV w:val="single" w:sz="4" w:space="0" w:color="FFFFFF" w:themeColor="background1"/>
      </w:tblBorders>
    </w:tblPr>
    <w:tcPr>
      <w:shd w:val="clear" w:color="auto" w:fill="E8F6FC" w:themeFill="accent1" w:themeFillTint="19"/>
    </w:tcPr>
    <w:tblStylePr w:type="firstRow">
      <w:rPr>
        <w:b/>
        <w:bCs/>
      </w:rPr>
      <w:tblPr/>
      <w:tcPr>
        <w:tcBorders>
          <w:top w:val="nil"/>
          <w:left w:val="nil"/>
          <w:bottom w:val="single" w:sz="24" w:space="0" w:color="2683C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06788" w:themeFill="accent1" w:themeFillShade="99"/>
      </w:tcPr>
    </w:tblStylePr>
    <w:tblStylePr w:type="firstCol">
      <w:rPr>
        <w:color w:val="FFFFFF" w:themeColor="background1"/>
      </w:rPr>
      <w:tblPr/>
      <w:tcPr>
        <w:tcBorders>
          <w:top w:val="nil"/>
          <w:left w:val="nil"/>
          <w:bottom w:val="nil"/>
          <w:right w:val="nil"/>
          <w:insideH w:val="single" w:sz="4" w:space="0" w:color="106788" w:themeColor="accent1" w:themeShade="99"/>
          <w:insideV w:val="nil"/>
        </w:tcBorders>
        <w:shd w:val="clear" w:color="auto" w:fill="10678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06788" w:themeFill="accent1" w:themeFillShade="99"/>
      </w:tcPr>
    </w:tblStylePr>
    <w:tblStylePr w:type="band1Vert">
      <w:tblPr/>
      <w:tcPr>
        <w:shd w:val="clear" w:color="auto" w:fill="A4DDF4" w:themeFill="accent1" w:themeFillTint="66"/>
      </w:tcPr>
    </w:tblStylePr>
    <w:tblStylePr w:type="band1Horz">
      <w:tblPr/>
      <w:tcPr>
        <w:shd w:val="clear" w:color="auto" w:fill="8DD5F1"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2683C6" w:themeColor="accent2"/>
        <w:left w:val="single" w:sz="4" w:space="0" w:color="2683C6" w:themeColor="accent2"/>
        <w:bottom w:val="single" w:sz="4" w:space="0" w:color="2683C6" w:themeColor="accent2"/>
        <w:right w:val="single" w:sz="4" w:space="0" w:color="2683C6" w:themeColor="accent2"/>
        <w:insideH w:val="single" w:sz="4" w:space="0" w:color="FFFFFF" w:themeColor="background1"/>
        <w:insideV w:val="single" w:sz="4" w:space="0" w:color="FFFFFF" w:themeColor="background1"/>
      </w:tblBorders>
    </w:tblPr>
    <w:tcPr>
      <w:shd w:val="clear" w:color="auto" w:fill="E8F2FA" w:themeFill="accent2" w:themeFillTint="19"/>
    </w:tcPr>
    <w:tblStylePr w:type="firstRow">
      <w:rPr>
        <w:b/>
        <w:bCs/>
      </w:rPr>
      <w:tblPr/>
      <w:tcPr>
        <w:tcBorders>
          <w:top w:val="nil"/>
          <w:left w:val="nil"/>
          <w:bottom w:val="single" w:sz="24" w:space="0" w:color="2683C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64E76" w:themeFill="accent2" w:themeFillShade="99"/>
      </w:tcPr>
    </w:tblStylePr>
    <w:tblStylePr w:type="firstCol">
      <w:rPr>
        <w:color w:val="FFFFFF" w:themeColor="background1"/>
      </w:rPr>
      <w:tblPr/>
      <w:tcPr>
        <w:tcBorders>
          <w:top w:val="nil"/>
          <w:left w:val="nil"/>
          <w:bottom w:val="nil"/>
          <w:right w:val="nil"/>
          <w:insideH w:val="single" w:sz="4" w:space="0" w:color="164E76" w:themeColor="accent2" w:themeShade="99"/>
          <w:insideV w:val="nil"/>
        </w:tcBorders>
        <w:shd w:val="clear" w:color="auto" w:fill="164E76"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164E76" w:themeFill="accent2" w:themeFillShade="99"/>
      </w:tcPr>
    </w:tblStylePr>
    <w:tblStylePr w:type="band1Vert">
      <w:tblPr/>
      <w:tcPr>
        <w:shd w:val="clear" w:color="auto" w:fill="A3CEED" w:themeFill="accent2" w:themeFillTint="66"/>
      </w:tcPr>
    </w:tblStylePr>
    <w:tblStylePr w:type="band1Horz">
      <w:tblPr/>
      <w:tcPr>
        <w:shd w:val="clear" w:color="auto" w:fill="8CC2E9"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42BA97" w:themeColor="accent4"/>
        <w:left w:val="single" w:sz="4" w:space="0" w:color="27CED7" w:themeColor="accent3"/>
        <w:bottom w:val="single" w:sz="4" w:space="0" w:color="27CED7" w:themeColor="accent3"/>
        <w:right w:val="single" w:sz="4" w:space="0" w:color="27CED7" w:themeColor="accent3"/>
        <w:insideH w:val="single" w:sz="4" w:space="0" w:color="FFFFFF" w:themeColor="background1"/>
        <w:insideV w:val="single" w:sz="4" w:space="0" w:color="FFFFFF" w:themeColor="background1"/>
      </w:tblBorders>
    </w:tblPr>
    <w:tcPr>
      <w:shd w:val="clear" w:color="auto" w:fill="E9FAFB" w:themeFill="accent3" w:themeFillTint="19"/>
    </w:tcPr>
    <w:tblStylePr w:type="firstRow">
      <w:rPr>
        <w:b/>
        <w:bCs/>
      </w:rPr>
      <w:tblPr/>
      <w:tcPr>
        <w:tcBorders>
          <w:top w:val="nil"/>
          <w:left w:val="nil"/>
          <w:bottom w:val="single" w:sz="24" w:space="0" w:color="42BA97"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77B80" w:themeFill="accent3" w:themeFillShade="99"/>
      </w:tcPr>
    </w:tblStylePr>
    <w:tblStylePr w:type="firstCol">
      <w:rPr>
        <w:color w:val="FFFFFF" w:themeColor="background1"/>
      </w:rPr>
      <w:tblPr/>
      <w:tcPr>
        <w:tcBorders>
          <w:top w:val="nil"/>
          <w:left w:val="nil"/>
          <w:bottom w:val="nil"/>
          <w:right w:val="nil"/>
          <w:insideH w:val="single" w:sz="4" w:space="0" w:color="177B80" w:themeColor="accent3" w:themeShade="99"/>
          <w:insideV w:val="nil"/>
        </w:tcBorders>
        <w:shd w:val="clear" w:color="auto" w:fill="177B8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77B80" w:themeFill="accent3" w:themeFillShade="99"/>
      </w:tcPr>
    </w:tblStylePr>
    <w:tblStylePr w:type="band1Vert">
      <w:tblPr/>
      <w:tcPr>
        <w:shd w:val="clear" w:color="auto" w:fill="A8EBEF" w:themeFill="accent3" w:themeFillTint="66"/>
      </w:tcPr>
    </w:tblStylePr>
    <w:tblStylePr w:type="band1Horz">
      <w:tblPr/>
      <w:tcPr>
        <w:shd w:val="clear" w:color="auto" w:fill="92E6EB"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27CED7" w:themeColor="accent3"/>
        <w:left w:val="single" w:sz="4" w:space="0" w:color="42BA97" w:themeColor="accent4"/>
        <w:bottom w:val="single" w:sz="4" w:space="0" w:color="42BA97" w:themeColor="accent4"/>
        <w:right w:val="single" w:sz="4" w:space="0" w:color="42BA97" w:themeColor="accent4"/>
        <w:insideH w:val="single" w:sz="4" w:space="0" w:color="FFFFFF" w:themeColor="background1"/>
        <w:insideV w:val="single" w:sz="4" w:space="0" w:color="FFFFFF" w:themeColor="background1"/>
      </w:tblBorders>
    </w:tblPr>
    <w:tcPr>
      <w:shd w:val="clear" w:color="auto" w:fill="ECF8F4" w:themeFill="accent4" w:themeFillTint="19"/>
    </w:tcPr>
    <w:tblStylePr w:type="firstRow">
      <w:rPr>
        <w:b/>
        <w:bCs/>
      </w:rPr>
      <w:tblPr/>
      <w:tcPr>
        <w:tcBorders>
          <w:top w:val="nil"/>
          <w:left w:val="nil"/>
          <w:bottom w:val="single" w:sz="24" w:space="0" w:color="27CED7"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F5A" w:themeFill="accent4" w:themeFillShade="99"/>
      </w:tcPr>
    </w:tblStylePr>
    <w:tblStylePr w:type="firstCol">
      <w:rPr>
        <w:color w:val="FFFFFF" w:themeColor="background1"/>
      </w:rPr>
      <w:tblPr/>
      <w:tcPr>
        <w:tcBorders>
          <w:top w:val="nil"/>
          <w:left w:val="nil"/>
          <w:bottom w:val="nil"/>
          <w:right w:val="nil"/>
          <w:insideH w:val="single" w:sz="4" w:space="0" w:color="276F5A" w:themeColor="accent4" w:themeShade="99"/>
          <w:insideV w:val="nil"/>
        </w:tcBorders>
        <w:shd w:val="clear" w:color="auto" w:fill="276F5A"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76F5A" w:themeFill="accent4" w:themeFillShade="99"/>
      </w:tcPr>
    </w:tblStylePr>
    <w:tblStylePr w:type="band1Vert">
      <w:tblPr/>
      <w:tcPr>
        <w:shd w:val="clear" w:color="auto" w:fill="B2E4D5" w:themeFill="accent4" w:themeFillTint="66"/>
      </w:tcPr>
    </w:tblStylePr>
    <w:tblStylePr w:type="band1Horz">
      <w:tblPr/>
      <w:tcPr>
        <w:shd w:val="clear" w:color="auto" w:fill="A0DDCB"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62A39F" w:themeColor="accent6"/>
        <w:left w:val="single" w:sz="4" w:space="0" w:color="3E8853" w:themeColor="accent5"/>
        <w:bottom w:val="single" w:sz="4" w:space="0" w:color="3E8853" w:themeColor="accent5"/>
        <w:right w:val="single" w:sz="4" w:space="0" w:color="3E8853" w:themeColor="accent5"/>
        <w:insideH w:val="single" w:sz="4" w:space="0" w:color="FFFFFF" w:themeColor="background1"/>
        <w:insideV w:val="single" w:sz="4" w:space="0" w:color="FFFFFF" w:themeColor="background1"/>
      </w:tblBorders>
    </w:tblPr>
    <w:tcPr>
      <w:shd w:val="clear" w:color="auto" w:fill="E9F5ED" w:themeFill="accent5" w:themeFillTint="19"/>
    </w:tcPr>
    <w:tblStylePr w:type="firstRow">
      <w:rPr>
        <w:b/>
        <w:bCs/>
      </w:rPr>
      <w:tblPr/>
      <w:tcPr>
        <w:tcBorders>
          <w:top w:val="nil"/>
          <w:left w:val="nil"/>
          <w:bottom w:val="single" w:sz="24" w:space="0" w:color="62A39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131" w:themeFill="accent5" w:themeFillShade="99"/>
      </w:tcPr>
    </w:tblStylePr>
    <w:tblStylePr w:type="firstCol">
      <w:rPr>
        <w:color w:val="FFFFFF" w:themeColor="background1"/>
      </w:rPr>
      <w:tblPr/>
      <w:tcPr>
        <w:tcBorders>
          <w:top w:val="nil"/>
          <w:left w:val="nil"/>
          <w:bottom w:val="nil"/>
          <w:right w:val="nil"/>
          <w:insideH w:val="single" w:sz="4" w:space="0" w:color="255131" w:themeColor="accent5" w:themeShade="99"/>
          <w:insideV w:val="nil"/>
        </w:tcBorders>
        <w:shd w:val="clear" w:color="auto" w:fill="25513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131" w:themeFill="accent5" w:themeFillShade="99"/>
      </w:tcPr>
    </w:tblStylePr>
    <w:tblStylePr w:type="band1Vert">
      <w:tblPr/>
      <w:tcPr>
        <w:shd w:val="clear" w:color="auto" w:fill="A9D7B6" w:themeFill="accent5" w:themeFillTint="66"/>
      </w:tcPr>
    </w:tblStylePr>
    <w:tblStylePr w:type="band1Horz">
      <w:tblPr/>
      <w:tcPr>
        <w:shd w:val="clear" w:color="auto" w:fill="94CEA4"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3E8853" w:themeColor="accent5"/>
        <w:left w:val="single" w:sz="4" w:space="0" w:color="62A39F" w:themeColor="accent6"/>
        <w:bottom w:val="single" w:sz="4" w:space="0" w:color="62A39F" w:themeColor="accent6"/>
        <w:right w:val="single" w:sz="4" w:space="0" w:color="62A39F" w:themeColor="accent6"/>
        <w:insideH w:val="single" w:sz="4" w:space="0" w:color="FFFFFF" w:themeColor="background1"/>
        <w:insideV w:val="single" w:sz="4" w:space="0" w:color="FFFFFF" w:themeColor="background1"/>
      </w:tblBorders>
    </w:tblPr>
    <w:tcPr>
      <w:shd w:val="clear" w:color="auto" w:fill="EFF6F5" w:themeFill="accent6" w:themeFillTint="19"/>
    </w:tcPr>
    <w:tblStylePr w:type="firstRow">
      <w:rPr>
        <w:b/>
        <w:bCs/>
      </w:rPr>
      <w:tblPr/>
      <w:tcPr>
        <w:tcBorders>
          <w:top w:val="nil"/>
          <w:left w:val="nil"/>
          <w:bottom w:val="single" w:sz="24" w:space="0" w:color="3E885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625F" w:themeFill="accent6" w:themeFillShade="99"/>
      </w:tcPr>
    </w:tblStylePr>
    <w:tblStylePr w:type="firstCol">
      <w:rPr>
        <w:color w:val="FFFFFF" w:themeColor="background1"/>
      </w:rPr>
      <w:tblPr/>
      <w:tcPr>
        <w:tcBorders>
          <w:top w:val="nil"/>
          <w:left w:val="nil"/>
          <w:bottom w:val="nil"/>
          <w:right w:val="nil"/>
          <w:insideH w:val="single" w:sz="4" w:space="0" w:color="39625F" w:themeColor="accent6" w:themeShade="99"/>
          <w:insideV w:val="nil"/>
        </w:tcBorders>
        <w:shd w:val="clear" w:color="auto" w:fill="39625F"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39625F" w:themeFill="accent6" w:themeFillShade="99"/>
      </w:tcPr>
    </w:tblStylePr>
    <w:tblStylePr w:type="band1Vert">
      <w:tblPr/>
      <w:tcPr>
        <w:shd w:val="clear" w:color="auto" w:fill="C0DAD8" w:themeFill="accent6" w:themeFillTint="66"/>
      </w:tcPr>
    </w:tblStylePr>
    <w:tblStylePr w:type="band1Horz">
      <w:tblPr/>
      <w:tcPr>
        <w:shd w:val="clear" w:color="auto" w:fill="B0D1CF"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1E689E" w:themeFill="accent2" w:themeFillShade="CC"/>
      </w:tcPr>
    </w:tblStylePr>
    <w:tblStylePr w:type="lastRow">
      <w:rPr>
        <w:b/>
        <w:bCs/>
        <w:color w:val="1E689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8F6FC" w:themeFill="accent1" w:themeFillTint="19"/>
    </w:tcPr>
    <w:tblStylePr w:type="firstRow">
      <w:rPr>
        <w:b/>
        <w:bCs/>
        <w:color w:val="FFFFFF" w:themeColor="background1"/>
      </w:rPr>
      <w:tblPr/>
      <w:tcPr>
        <w:tcBorders>
          <w:bottom w:val="single" w:sz="12" w:space="0" w:color="FFFFFF" w:themeColor="background1"/>
        </w:tcBorders>
        <w:shd w:val="clear" w:color="auto" w:fill="1E689E" w:themeFill="accent2" w:themeFillShade="CC"/>
      </w:tcPr>
    </w:tblStylePr>
    <w:tblStylePr w:type="lastRow">
      <w:rPr>
        <w:b/>
        <w:bCs/>
        <w:color w:val="1E689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6EAF8" w:themeFill="accent1" w:themeFillTint="3F"/>
      </w:tcPr>
    </w:tblStylePr>
    <w:tblStylePr w:type="band1Horz">
      <w:tblPr/>
      <w:tcPr>
        <w:shd w:val="clear" w:color="auto" w:fill="D1EEF9"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E8F2FA" w:themeFill="accent2" w:themeFillTint="19"/>
    </w:tcPr>
    <w:tblStylePr w:type="firstRow">
      <w:rPr>
        <w:b/>
        <w:bCs/>
        <w:color w:val="FFFFFF" w:themeColor="background1"/>
      </w:rPr>
      <w:tblPr/>
      <w:tcPr>
        <w:tcBorders>
          <w:bottom w:val="single" w:sz="12" w:space="0" w:color="FFFFFF" w:themeColor="background1"/>
        </w:tcBorders>
        <w:shd w:val="clear" w:color="auto" w:fill="1E689E" w:themeFill="accent2" w:themeFillShade="CC"/>
      </w:tcPr>
    </w:tblStylePr>
    <w:tblStylePr w:type="lastRow">
      <w:rPr>
        <w:b/>
        <w:bCs/>
        <w:color w:val="1E689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5E0F4" w:themeFill="accent2" w:themeFillTint="3F"/>
      </w:tcPr>
    </w:tblStylePr>
    <w:tblStylePr w:type="band1Horz">
      <w:tblPr/>
      <w:tcPr>
        <w:shd w:val="clear" w:color="auto" w:fill="D0E6F6"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E9FAFB" w:themeFill="accent3" w:themeFillTint="19"/>
    </w:tcPr>
    <w:tblStylePr w:type="firstRow">
      <w:rPr>
        <w:b/>
        <w:bCs/>
        <w:color w:val="FFFFFF" w:themeColor="background1"/>
      </w:rPr>
      <w:tblPr/>
      <w:tcPr>
        <w:tcBorders>
          <w:bottom w:val="single" w:sz="12" w:space="0" w:color="FFFFFF" w:themeColor="background1"/>
        </w:tcBorders>
        <w:shd w:val="clear" w:color="auto" w:fill="349478" w:themeFill="accent4" w:themeFillShade="CC"/>
      </w:tcPr>
    </w:tblStylePr>
    <w:tblStylePr w:type="lastRow">
      <w:rPr>
        <w:b/>
        <w:bCs/>
        <w:color w:val="349478"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9F2F5" w:themeFill="accent3" w:themeFillTint="3F"/>
      </w:tcPr>
    </w:tblStylePr>
    <w:tblStylePr w:type="band1Horz">
      <w:tblPr/>
      <w:tcPr>
        <w:shd w:val="clear" w:color="auto" w:fill="D3F5F7"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ECF8F4" w:themeFill="accent4" w:themeFillTint="19"/>
    </w:tcPr>
    <w:tblStylePr w:type="firstRow">
      <w:rPr>
        <w:b/>
        <w:bCs/>
        <w:color w:val="FFFFFF" w:themeColor="background1"/>
      </w:rPr>
      <w:tblPr/>
      <w:tcPr>
        <w:tcBorders>
          <w:bottom w:val="single" w:sz="12" w:space="0" w:color="FFFFFF" w:themeColor="background1"/>
        </w:tcBorders>
        <w:shd w:val="clear" w:color="auto" w:fill="1FA3AB" w:themeFill="accent3" w:themeFillShade="CC"/>
      </w:tcPr>
    </w:tblStylePr>
    <w:tblStylePr w:type="lastRow">
      <w:rPr>
        <w:b/>
        <w:bCs/>
        <w:color w:val="1FA3AB"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EEE5" w:themeFill="accent4" w:themeFillTint="3F"/>
      </w:tcPr>
    </w:tblStylePr>
    <w:tblStylePr w:type="band1Horz">
      <w:tblPr/>
      <w:tcPr>
        <w:shd w:val="clear" w:color="auto" w:fill="D8F1EA"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9F5ED" w:themeFill="accent5" w:themeFillTint="19"/>
    </w:tcPr>
    <w:tblStylePr w:type="firstRow">
      <w:rPr>
        <w:b/>
        <w:bCs/>
        <w:color w:val="FFFFFF" w:themeColor="background1"/>
      </w:rPr>
      <w:tblPr/>
      <w:tcPr>
        <w:tcBorders>
          <w:bottom w:val="single" w:sz="12" w:space="0" w:color="FFFFFF" w:themeColor="background1"/>
        </w:tcBorders>
        <w:shd w:val="clear" w:color="auto" w:fill="4D8380" w:themeFill="accent6" w:themeFillShade="CC"/>
      </w:tcPr>
    </w:tblStylePr>
    <w:tblStylePr w:type="lastRow">
      <w:rPr>
        <w:b/>
        <w:bCs/>
        <w:color w:val="4D8380"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9E6D2" w:themeFill="accent5" w:themeFillTint="3F"/>
      </w:tcPr>
    </w:tblStylePr>
    <w:tblStylePr w:type="band1Horz">
      <w:tblPr/>
      <w:tcPr>
        <w:shd w:val="clear" w:color="auto" w:fill="D3EBDA"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EFF6F5" w:themeFill="accent6" w:themeFillTint="19"/>
    </w:tcPr>
    <w:tblStylePr w:type="firstRow">
      <w:rPr>
        <w:b/>
        <w:bCs/>
        <w:color w:val="FFFFFF" w:themeColor="background1"/>
      </w:rPr>
      <w:tblPr/>
      <w:tcPr>
        <w:tcBorders>
          <w:bottom w:val="single" w:sz="12" w:space="0" w:color="FFFFFF" w:themeColor="background1"/>
        </w:tcBorders>
        <w:shd w:val="clear" w:color="auto" w:fill="316C42" w:themeFill="accent5" w:themeFillShade="CC"/>
      </w:tcPr>
    </w:tblStylePr>
    <w:tblStylePr w:type="lastRow">
      <w:rPr>
        <w:b/>
        <w:bCs/>
        <w:color w:val="316C4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8E8E7" w:themeFill="accent6" w:themeFillTint="3F"/>
      </w:tcPr>
    </w:tblStylePr>
    <w:tblStylePr w:type="band1Horz">
      <w:tblPr/>
      <w:tcPr>
        <w:shd w:val="clear" w:color="auto" w:fill="DFECEB"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1EEF9" w:themeFill="accent1" w:themeFillTint="33"/>
    </w:tcPr>
    <w:tblStylePr w:type="firstRow">
      <w:rPr>
        <w:b/>
        <w:bCs/>
      </w:rPr>
      <w:tblPr/>
      <w:tcPr>
        <w:shd w:val="clear" w:color="auto" w:fill="A4DDF4" w:themeFill="accent1" w:themeFillTint="66"/>
      </w:tcPr>
    </w:tblStylePr>
    <w:tblStylePr w:type="lastRow">
      <w:rPr>
        <w:b/>
        <w:bCs/>
        <w:color w:val="000000" w:themeColor="text1"/>
      </w:rPr>
      <w:tblPr/>
      <w:tcPr>
        <w:shd w:val="clear" w:color="auto" w:fill="A4DDF4" w:themeFill="accent1" w:themeFillTint="66"/>
      </w:tcPr>
    </w:tblStylePr>
    <w:tblStylePr w:type="firstCol">
      <w:rPr>
        <w:color w:val="FFFFFF" w:themeColor="background1"/>
      </w:rPr>
      <w:tblPr/>
      <w:tcPr>
        <w:shd w:val="clear" w:color="auto" w:fill="1481AB" w:themeFill="accent1" w:themeFillShade="BF"/>
      </w:tcPr>
    </w:tblStylePr>
    <w:tblStylePr w:type="lastCol">
      <w:rPr>
        <w:color w:val="FFFFFF" w:themeColor="background1"/>
      </w:rPr>
      <w:tblPr/>
      <w:tcPr>
        <w:shd w:val="clear" w:color="auto" w:fill="1481AB" w:themeFill="accent1" w:themeFillShade="BF"/>
      </w:tcPr>
    </w:tblStylePr>
    <w:tblStylePr w:type="band1Vert">
      <w:tblPr/>
      <w:tcPr>
        <w:shd w:val="clear" w:color="auto" w:fill="8DD5F1" w:themeFill="accent1" w:themeFillTint="7F"/>
      </w:tcPr>
    </w:tblStylePr>
    <w:tblStylePr w:type="band1Horz">
      <w:tblPr/>
      <w:tcPr>
        <w:shd w:val="clear" w:color="auto" w:fill="8DD5F1"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0E6F6" w:themeFill="accent2" w:themeFillTint="33"/>
    </w:tcPr>
    <w:tblStylePr w:type="firstRow">
      <w:rPr>
        <w:b/>
        <w:bCs/>
      </w:rPr>
      <w:tblPr/>
      <w:tcPr>
        <w:shd w:val="clear" w:color="auto" w:fill="A3CEED" w:themeFill="accent2" w:themeFillTint="66"/>
      </w:tcPr>
    </w:tblStylePr>
    <w:tblStylePr w:type="lastRow">
      <w:rPr>
        <w:b/>
        <w:bCs/>
        <w:color w:val="000000" w:themeColor="text1"/>
      </w:rPr>
      <w:tblPr/>
      <w:tcPr>
        <w:shd w:val="clear" w:color="auto" w:fill="A3CEED" w:themeFill="accent2" w:themeFillTint="66"/>
      </w:tcPr>
    </w:tblStylePr>
    <w:tblStylePr w:type="firstCol">
      <w:rPr>
        <w:color w:val="FFFFFF" w:themeColor="background1"/>
      </w:rPr>
      <w:tblPr/>
      <w:tcPr>
        <w:shd w:val="clear" w:color="auto" w:fill="1C6194" w:themeFill="accent2" w:themeFillShade="BF"/>
      </w:tcPr>
    </w:tblStylePr>
    <w:tblStylePr w:type="lastCol">
      <w:rPr>
        <w:color w:val="FFFFFF" w:themeColor="background1"/>
      </w:rPr>
      <w:tblPr/>
      <w:tcPr>
        <w:shd w:val="clear" w:color="auto" w:fill="1C6194" w:themeFill="accent2" w:themeFillShade="BF"/>
      </w:tcPr>
    </w:tblStylePr>
    <w:tblStylePr w:type="band1Vert">
      <w:tblPr/>
      <w:tcPr>
        <w:shd w:val="clear" w:color="auto" w:fill="8CC2E9" w:themeFill="accent2" w:themeFillTint="7F"/>
      </w:tcPr>
    </w:tblStylePr>
    <w:tblStylePr w:type="band1Horz">
      <w:tblPr/>
      <w:tcPr>
        <w:shd w:val="clear" w:color="auto" w:fill="8CC2E9"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3F5F7" w:themeFill="accent3" w:themeFillTint="33"/>
    </w:tcPr>
    <w:tblStylePr w:type="firstRow">
      <w:rPr>
        <w:b/>
        <w:bCs/>
      </w:rPr>
      <w:tblPr/>
      <w:tcPr>
        <w:shd w:val="clear" w:color="auto" w:fill="A8EBEF" w:themeFill="accent3" w:themeFillTint="66"/>
      </w:tcPr>
    </w:tblStylePr>
    <w:tblStylePr w:type="lastRow">
      <w:rPr>
        <w:b/>
        <w:bCs/>
        <w:color w:val="000000" w:themeColor="text1"/>
      </w:rPr>
      <w:tblPr/>
      <w:tcPr>
        <w:shd w:val="clear" w:color="auto" w:fill="A8EBEF" w:themeFill="accent3" w:themeFillTint="66"/>
      </w:tcPr>
    </w:tblStylePr>
    <w:tblStylePr w:type="firstCol">
      <w:rPr>
        <w:color w:val="FFFFFF" w:themeColor="background1"/>
      </w:rPr>
      <w:tblPr/>
      <w:tcPr>
        <w:shd w:val="clear" w:color="auto" w:fill="1D99A0" w:themeFill="accent3" w:themeFillShade="BF"/>
      </w:tcPr>
    </w:tblStylePr>
    <w:tblStylePr w:type="lastCol">
      <w:rPr>
        <w:color w:val="FFFFFF" w:themeColor="background1"/>
      </w:rPr>
      <w:tblPr/>
      <w:tcPr>
        <w:shd w:val="clear" w:color="auto" w:fill="1D99A0" w:themeFill="accent3" w:themeFillShade="BF"/>
      </w:tcPr>
    </w:tblStylePr>
    <w:tblStylePr w:type="band1Vert">
      <w:tblPr/>
      <w:tcPr>
        <w:shd w:val="clear" w:color="auto" w:fill="92E6EB" w:themeFill="accent3" w:themeFillTint="7F"/>
      </w:tcPr>
    </w:tblStylePr>
    <w:tblStylePr w:type="band1Horz">
      <w:tblPr/>
      <w:tcPr>
        <w:shd w:val="clear" w:color="auto" w:fill="92E6EB"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8F1EA" w:themeFill="accent4" w:themeFillTint="33"/>
    </w:tcPr>
    <w:tblStylePr w:type="firstRow">
      <w:rPr>
        <w:b/>
        <w:bCs/>
      </w:rPr>
      <w:tblPr/>
      <w:tcPr>
        <w:shd w:val="clear" w:color="auto" w:fill="B2E4D5" w:themeFill="accent4" w:themeFillTint="66"/>
      </w:tcPr>
    </w:tblStylePr>
    <w:tblStylePr w:type="lastRow">
      <w:rPr>
        <w:b/>
        <w:bCs/>
        <w:color w:val="000000" w:themeColor="text1"/>
      </w:rPr>
      <w:tblPr/>
      <w:tcPr>
        <w:shd w:val="clear" w:color="auto" w:fill="B2E4D5" w:themeFill="accent4" w:themeFillTint="66"/>
      </w:tcPr>
    </w:tblStylePr>
    <w:tblStylePr w:type="firstCol">
      <w:rPr>
        <w:color w:val="FFFFFF" w:themeColor="background1"/>
      </w:rPr>
      <w:tblPr/>
      <w:tcPr>
        <w:shd w:val="clear" w:color="auto" w:fill="318B70" w:themeFill="accent4" w:themeFillShade="BF"/>
      </w:tcPr>
    </w:tblStylePr>
    <w:tblStylePr w:type="lastCol">
      <w:rPr>
        <w:color w:val="FFFFFF" w:themeColor="background1"/>
      </w:rPr>
      <w:tblPr/>
      <w:tcPr>
        <w:shd w:val="clear" w:color="auto" w:fill="318B70" w:themeFill="accent4" w:themeFillShade="BF"/>
      </w:tcPr>
    </w:tblStylePr>
    <w:tblStylePr w:type="band1Vert">
      <w:tblPr/>
      <w:tcPr>
        <w:shd w:val="clear" w:color="auto" w:fill="A0DDCB" w:themeFill="accent4" w:themeFillTint="7F"/>
      </w:tcPr>
    </w:tblStylePr>
    <w:tblStylePr w:type="band1Horz">
      <w:tblPr/>
      <w:tcPr>
        <w:shd w:val="clear" w:color="auto" w:fill="A0DDCB"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3EBDA" w:themeFill="accent5" w:themeFillTint="33"/>
    </w:tcPr>
    <w:tblStylePr w:type="firstRow">
      <w:rPr>
        <w:b/>
        <w:bCs/>
      </w:rPr>
      <w:tblPr/>
      <w:tcPr>
        <w:shd w:val="clear" w:color="auto" w:fill="A9D7B6" w:themeFill="accent5" w:themeFillTint="66"/>
      </w:tcPr>
    </w:tblStylePr>
    <w:tblStylePr w:type="lastRow">
      <w:rPr>
        <w:b/>
        <w:bCs/>
        <w:color w:val="000000" w:themeColor="text1"/>
      </w:rPr>
      <w:tblPr/>
      <w:tcPr>
        <w:shd w:val="clear" w:color="auto" w:fill="A9D7B6" w:themeFill="accent5" w:themeFillTint="66"/>
      </w:tcPr>
    </w:tblStylePr>
    <w:tblStylePr w:type="firstCol">
      <w:rPr>
        <w:color w:val="FFFFFF" w:themeColor="background1"/>
      </w:rPr>
      <w:tblPr/>
      <w:tcPr>
        <w:shd w:val="clear" w:color="auto" w:fill="2E653E" w:themeFill="accent5" w:themeFillShade="BF"/>
      </w:tcPr>
    </w:tblStylePr>
    <w:tblStylePr w:type="lastCol">
      <w:rPr>
        <w:color w:val="FFFFFF" w:themeColor="background1"/>
      </w:rPr>
      <w:tblPr/>
      <w:tcPr>
        <w:shd w:val="clear" w:color="auto" w:fill="2E653E" w:themeFill="accent5" w:themeFillShade="BF"/>
      </w:tcPr>
    </w:tblStylePr>
    <w:tblStylePr w:type="band1Vert">
      <w:tblPr/>
      <w:tcPr>
        <w:shd w:val="clear" w:color="auto" w:fill="94CEA4" w:themeFill="accent5" w:themeFillTint="7F"/>
      </w:tcPr>
    </w:tblStylePr>
    <w:tblStylePr w:type="band1Horz">
      <w:tblPr/>
      <w:tcPr>
        <w:shd w:val="clear" w:color="auto" w:fill="94CEA4"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FECEB" w:themeFill="accent6" w:themeFillTint="33"/>
    </w:tcPr>
    <w:tblStylePr w:type="firstRow">
      <w:rPr>
        <w:b/>
        <w:bCs/>
      </w:rPr>
      <w:tblPr/>
      <w:tcPr>
        <w:shd w:val="clear" w:color="auto" w:fill="C0DAD8" w:themeFill="accent6" w:themeFillTint="66"/>
      </w:tcPr>
    </w:tblStylePr>
    <w:tblStylePr w:type="lastRow">
      <w:rPr>
        <w:b/>
        <w:bCs/>
        <w:color w:val="000000" w:themeColor="text1"/>
      </w:rPr>
      <w:tblPr/>
      <w:tcPr>
        <w:shd w:val="clear" w:color="auto" w:fill="C0DAD8" w:themeFill="accent6" w:themeFillTint="66"/>
      </w:tcPr>
    </w:tblStylePr>
    <w:tblStylePr w:type="firstCol">
      <w:rPr>
        <w:color w:val="FFFFFF" w:themeColor="background1"/>
      </w:rPr>
      <w:tblPr/>
      <w:tcPr>
        <w:shd w:val="clear" w:color="auto" w:fill="487B77" w:themeFill="accent6" w:themeFillShade="BF"/>
      </w:tcPr>
    </w:tblStylePr>
    <w:tblStylePr w:type="lastCol">
      <w:rPr>
        <w:color w:val="FFFFFF" w:themeColor="background1"/>
      </w:rPr>
      <w:tblPr/>
      <w:tcPr>
        <w:shd w:val="clear" w:color="auto" w:fill="487B77" w:themeFill="accent6" w:themeFillShade="BF"/>
      </w:tcPr>
    </w:tblStylePr>
    <w:tblStylePr w:type="band1Vert">
      <w:tblPr/>
      <w:tcPr>
        <w:shd w:val="clear" w:color="auto" w:fill="B0D1CF" w:themeFill="accent6" w:themeFillTint="7F"/>
      </w:tcPr>
    </w:tblStylePr>
    <w:tblStylePr w:type="band1Horz">
      <w:tblPr/>
      <w:tcPr>
        <w:shd w:val="clear" w:color="auto" w:fill="B0D1CF" w:themeFill="accent6" w:themeFillTint="7F"/>
      </w:tcPr>
    </w:tblStylePr>
  </w:style>
  <w:style w:type="paragraph" w:styleId="NormalWeb">
    <w:name w:val="Normal (Web)"/>
    <w:basedOn w:val="Normal"/>
    <w:uiPriority w:val="99"/>
    <w:unhideWhenUsed/>
    <w:rsid w:val="00794F6E"/>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character" w:customStyle="1" w:styleId="SinespaciadoCar">
    <w:name w:val="Sin espaciado Car"/>
    <w:basedOn w:val="Fuentedeprrafopredeter"/>
    <w:link w:val="Sinespaciado"/>
    <w:uiPriority w:val="1"/>
    <w:rsid w:val="00794F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Azul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18</Pages>
  <Words>5084</Words>
  <Characters>27967</Characters>
  <Application>Microsoft Office Word</Application>
  <DocSecurity>0</DocSecurity>
  <Lines>233</Lines>
  <Paragraphs>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32986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Valderrama Hernandez Maria Fernanda</cp:lastModifiedBy>
  <cp:revision>19</cp:revision>
  <dcterms:created xsi:type="dcterms:W3CDTF">2025-10-02T02:56:00Z</dcterms:created>
  <dcterms:modified xsi:type="dcterms:W3CDTF">2025-10-05T03:58:00Z</dcterms:modified>
  <cp:category/>
</cp:coreProperties>
</file>